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40"/>
        <w:ind w:hanging="0" w:left="0" w:right="0"/>
        <w:jc w:val="center"/>
        <w:rPr>
          <w:rFonts w:ascii="Verdana" w:hAnsi="Verdana"/>
          <w:sz w:val="20"/>
          <w:szCs w:val="20"/>
        </w:rPr>
      </w:pPr>
      <w:r>
        <w:rPr>
          <w:rFonts w:ascii="Verdana" w:hAnsi="Verdana"/>
          <w:sz w:val="20"/>
          <w:szCs w:val="20"/>
        </w:rPr>
      </w:r>
    </w:p>
    <w:p>
      <w:pPr>
        <w:pStyle w:val="Normal"/>
        <w:suppressAutoHyphens w:val="false"/>
        <w:spacing w:lineRule="auto" w:line="240"/>
        <w:ind w:hanging="0" w:left="0" w:right="0"/>
        <w:jc w:val="center"/>
        <w:rPr/>
      </w:pPr>
      <w:r>
        <w:rPr>
          <w:rFonts w:ascii="Verdana" w:hAnsi="Verdana"/>
          <w:b/>
          <w:bCs/>
          <w:color w:val="000000"/>
          <w:sz w:val="20"/>
          <w:szCs w:val="20"/>
        </w:rPr>
        <w:t>TERMO DE REFERÊNCIA  - LEI 14.133/21</w:t>
      </w:r>
    </w:p>
    <w:p>
      <w:pPr>
        <w:pStyle w:val="Normal"/>
        <w:spacing w:lineRule="auto" w:line="240"/>
        <w:ind w:hanging="0"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ind w:hanging="0" w:left="0" w:right="0"/>
        <w:jc w:val="center"/>
        <w:rPr/>
      </w:pPr>
      <w:r>
        <w:rPr>
          <w:rFonts w:eastAsia="Times New Roman" w:cs="Times New Roman" w:ascii="Verdana" w:hAnsi="Verdana"/>
          <w:b/>
          <w:bCs/>
          <w:iCs/>
          <w:color w:val="000000"/>
          <w:sz w:val="20"/>
          <w:szCs w:val="20"/>
        </w:rPr>
        <w:t>AQUISIÇÃO DE GÊNEROS ALIMENTÍCIOS PARA ATENDER AO PROGRAMA NACIONAL DE ALIMENTAÇÃO ESCOLAR</w:t>
      </w:r>
    </w:p>
    <w:p>
      <w:pPr>
        <w:pStyle w:val="Normal"/>
        <w:spacing w:lineRule="auto" w:line="240"/>
        <w:ind w:hanging="0"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ind w:hanging="0" w:left="0" w:right="0"/>
        <w:jc w:val="center"/>
        <w:rPr/>
      </w:pPr>
      <w:r>
        <w:rPr>
          <w:rFonts w:cs="Arial" w:ascii="Verdana" w:hAnsi="Verdana"/>
          <w:b/>
          <w:bCs/>
          <w:i w:val="false"/>
          <w:iCs w:val="false"/>
          <w:color w:val="000000"/>
          <w:sz w:val="20"/>
          <w:szCs w:val="20"/>
        </w:rPr>
        <w:t xml:space="preserve">Processo Administrativo nº </w:t>
      </w:r>
      <w:r>
        <w:rPr>
          <w:rFonts w:eastAsia="Times New Roman" w:cs="Times New Roman" w:ascii="Verdana" w:hAnsi="Verdana"/>
          <w:b/>
          <w:bCs/>
          <w:i w:val="false"/>
          <w:iCs w:val="false"/>
          <w:color w:val="000000"/>
          <w:sz w:val="20"/>
          <w:szCs w:val="20"/>
        </w:rPr>
        <w:t>003784/</w:t>
      </w:r>
      <w:r>
        <w:rPr>
          <w:rFonts w:cs="Arial" w:ascii="Verdana" w:hAnsi="Verdana"/>
          <w:b/>
          <w:bCs/>
          <w:i w:val="false"/>
          <w:iCs w:val="false"/>
          <w:color w:val="000000"/>
          <w:sz w:val="20"/>
          <w:szCs w:val="20"/>
        </w:rPr>
        <w:t xml:space="preserve">2026 de 01 de junho de 2026 (Secretaria Municipal de </w:t>
      </w:r>
      <w:r>
        <w:rPr>
          <w:rFonts w:eastAsia="Times New Roman" w:cs="Arial" w:ascii="Verdana" w:hAnsi="Verdana"/>
          <w:b/>
          <w:bCs/>
          <w:i w:val="false"/>
          <w:iCs w:val="false"/>
          <w:color w:val="000000"/>
          <w:sz w:val="20"/>
          <w:szCs w:val="20"/>
        </w:rPr>
        <w:t>Educação</w:t>
      </w:r>
      <w:r>
        <w:rPr>
          <w:rFonts w:cs="Arial" w:ascii="Verdana" w:hAnsi="Verdana"/>
          <w:b/>
          <w:bCs/>
          <w:i w:val="false"/>
          <w:iCs w:val="false"/>
          <w:color w:val="000000"/>
          <w:sz w:val="20"/>
          <w:szCs w:val="20"/>
        </w:rPr>
        <w:t>)</w:t>
      </w:r>
    </w:p>
    <w:p>
      <w:pPr>
        <w:pStyle w:val="Normal"/>
        <w:spacing w:lineRule="auto" w:line="240"/>
        <w:ind w:hanging="0" w:left="0" w:right="0"/>
        <w:jc w:val="center"/>
        <w:rPr>
          <w:rFonts w:ascii="Verdana" w:hAnsi="Verdana"/>
          <w:sz w:val="20"/>
          <w:szCs w:val="20"/>
        </w:rPr>
      </w:pPr>
      <w:r>
        <w:rPr>
          <w:rFonts w:ascii="Verdana" w:hAnsi="Verdana"/>
          <w:sz w:val="20"/>
          <w:szCs w:val="20"/>
        </w:rPr>
      </w:r>
    </w:p>
    <w:p>
      <w:pPr>
        <w:pStyle w:val="Normal"/>
        <w:spacing w:lineRule="auto" w:line="240"/>
        <w:ind w:hanging="0" w:left="0" w:right="0"/>
        <w:jc w:val="center"/>
        <w:rPr>
          <w:rFonts w:ascii="Verdana" w:hAnsi="Verdana" w:cs="Arial"/>
          <w:b/>
          <w:sz w:val="20"/>
          <w:szCs w:val="20"/>
          <w:u w:val="single"/>
        </w:rPr>
      </w:pPr>
      <w:r>
        <w:rPr>
          <w:rFonts w:cs="Arial" w:ascii="Verdana" w:hAnsi="Verdana"/>
          <w:b/>
          <w:sz w:val="20"/>
          <w:szCs w:val="20"/>
          <w:u w:val="single"/>
        </w:rPr>
      </w:r>
    </w:p>
    <w:p>
      <w:pPr>
        <w:pStyle w:val="Nivel1"/>
        <w:spacing w:lineRule="auto" w:line="240" w:before="0" w:after="0"/>
        <w:ind w:hanging="0" w:left="0" w:right="0"/>
        <w:rPr/>
      </w:pPr>
      <w:r>
        <w:rPr>
          <w:rFonts w:cs="Times New Roman" w:ascii="Verdana" w:hAnsi="Verdana"/>
          <w:bCs/>
          <w:sz w:val="20"/>
          <w:szCs w:val="20"/>
        </w:rPr>
        <w:t>1. DAS CONDIÇÕES GERAIS DA CONTRATAÇÃO</w:t>
      </w:r>
    </w:p>
    <w:p>
      <w:pPr>
        <w:pStyle w:val="Normal"/>
        <w:tabs>
          <w:tab w:val="clear" w:pos="708"/>
          <w:tab w:val="left" w:pos="50" w:leader="none"/>
          <w:tab w:val="left" w:pos="150" w:leader="none"/>
        </w:tabs>
        <w:spacing w:lineRule="auto" w:line="240"/>
        <w:ind w:hanging="0" w:left="57" w:right="0"/>
        <w:jc w:val="both"/>
        <w:rPr/>
      </w:pPr>
      <w:r>
        <w:rPr>
          <w:rFonts w:eastAsia="Times New Roman" w:cs="Arial" w:ascii="Verdana" w:hAnsi="Verdana"/>
          <w:b w:val="false"/>
          <w:bCs w:val="false"/>
          <w:iCs/>
          <w:color w:val="000000"/>
          <w:sz w:val="20"/>
          <w:szCs w:val="20"/>
        </w:rPr>
        <w:t>1.1. Aquisição por meio de licitação, de gêneros alimentícios em atendimento ao Programa Nacional de Alimentação Escolar, devidamente relacionados e especificados na solicitação</w:t>
      </w:r>
      <w:r>
        <w:rPr>
          <w:rFonts w:eastAsia="Times New Roman" w:cs="Arial" w:ascii="Verdana" w:hAnsi="Verdana"/>
          <w:iCs/>
          <w:color w:val="000000"/>
          <w:sz w:val="20"/>
          <w:szCs w:val="20"/>
        </w:rPr>
        <w:t xml:space="preserve"> de compras nº 106</w:t>
      </w:r>
      <w:r>
        <w:rPr>
          <w:rFonts w:eastAsia="Times New Roman" w:cs="Arial" w:ascii="Verdana" w:hAnsi="Verdana"/>
          <w:iCs/>
          <w:color w:val="000000"/>
          <w:sz w:val="20"/>
          <w:szCs w:val="20"/>
          <w:shd w:fill="auto" w:val="clear"/>
        </w:rPr>
        <w:t>/2026 e</w:t>
      </w:r>
      <w:r>
        <w:rPr>
          <w:rFonts w:eastAsia="Times New Roman" w:cs="Arial" w:ascii="Verdana" w:hAnsi="Verdana"/>
          <w:iCs/>
          <w:color w:val="000000"/>
          <w:sz w:val="20"/>
          <w:szCs w:val="20"/>
        </w:rPr>
        <w:t xml:space="preserve"> cronogramas em anexo no Estudo Técnico Preliminar e neste Termo de Referência, que são partes integrantes desse processo.</w:t>
      </w:r>
    </w:p>
    <w:p>
      <w:pPr>
        <w:pStyle w:val="Normal"/>
        <w:tabs>
          <w:tab w:val="clear" w:pos="708"/>
          <w:tab w:val="left" w:pos="50" w:leader="none"/>
          <w:tab w:val="left" w:pos="150" w:leader="none"/>
        </w:tabs>
        <w:spacing w:lineRule="auto" w:line="240"/>
        <w:ind w:hanging="0" w:left="57" w:right="0"/>
        <w:jc w:val="both"/>
        <w:rPr>
          <w:rFonts w:ascii="Verdana" w:hAnsi="Verdana" w:cs="Arial"/>
          <w:b/>
          <w:sz w:val="20"/>
          <w:szCs w:val="20"/>
          <w:u w:val="single"/>
        </w:rPr>
      </w:pPr>
      <w:r>
        <w:rPr>
          <w:rFonts w:cs="Arial" w:ascii="Verdana" w:hAnsi="Verdana"/>
          <w:b/>
          <w:sz w:val="20"/>
          <w:szCs w:val="20"/>
          <w:u w:val="single"/>
        </w:rPr>
      </w:r>
    </w:p>
    <w:tbl>
      <w:tblPr>
        <w:tblW w:w="10009" w:type="dxa"/>
        <w:jc w:val="left"/>
        <w:tblInd w:w="70" w:type="dxa"/>
        <w:tblLayout w:type="fixed"/>
        <w:tblCellMar>
          <w:top w:w="0" w:type="dxa"/>
          <w:left w:w="70" w:type="dxa"/>
          <w:bottom w:w="0" w:type="dxa"/>
          <w:right w:w="70" w:type="dxa"/>
        </w:tblCellMar>
      </w:tblPr>
      <w:tblGrid>
        <w:gridCol w:w="742"/>
        <w:gridCol w:w="4319"/>
        <w:gridCol w:w="803"/>
        <w:gridCol w:w="964"/>
        <w:gridCol w:w="1516"/>
        <w:gridCol w:w="1664"/>
      </w:tblGrid>
      <w:tr>
        <w:trPr>
          <w:trHeight w:val="919" w:hRule="atLeast"/>
        </w:trPr>
        <w:tc>
          <w:tcPr>
            <w:tcW w:w="742"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cs="Arial" w:ascii="Verdana" w:hAnsi="Verdana"/>
                <w:b/>
                <w:color w:val="000000"/>
                <w:sz w:val="20"/>
                <w:szCs w:val="20"/>
              </w:rPr>
              <w:t>Item</w:t>
            </w:r>
          </w:p>
        </w:tc>
        <w:tc>
          <w:tcPr>
            <w:tcW w:w="431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cs="Arial" w:ascii="Verdana" w:hAnsi="Verdana"/>
                <w:b/>
                <w:bCs/>
                <w:color w:val="000000"/>
                <w:sz w:val="20"/>
                <w:szCs w:val="20"/>
              </w:rPr>
              <w:t>DESCRIÇÃO</w:t>
            </w:r>
          </w:p>
        </w:tc>
        <w:tc>
          <w:tcPr>
            <w:tcW w:w="803" w:type="dxa"/>
            <w:tcBorders>
              <w:top w:val="single" w:sz="8" w:space="0" w:color="000000"/>
              <w:left w:val="single" w:sz="8" w:space="0" w:color="000000"/>
              <w:bottom w:val="single" w:sz="8" w:space="0" w:color="000000"/>
            </w:tcBorders>
            <w:shd w:fill="FFFFFF" w:val="clear"/>
            <w:vAlign w:val="center"/>
          </w:tcPr>
          <w:p>
            <w:pPr>
              <w:pStyle w:val="Normal"/>
              <w:spacing w:lineRule="auto" w:line="240"/>
              <w:jc w:val="center"/>
              <w:rPr/>
            </w:pPr>
            <w:r>
              <w:rPr>
                <w:rFonts w:ascii="Verdana" w:hAnsi="Verdana"/>
                <w:b/>
                <w:bCs/>
                <w:sz w:val="20"/>
                <w:szCs w:val="20"/>
              </w:rPr>
              <w:t>UND.</w:t>
            </w:r>
          </w:p>
        </w:tc>
        <w:tc>
          <w:tcPr>
            <w:tcW w:w="96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cs="Arial" w:ascii="Verdana" w:hAnsi="Verdana"/>
                <w:b/>
                <w:bCs/>
                <w:color w:val="000000"/>
                <w:sz w:val="20"/>
                <w:szCs w:val="20"/>
              </w:rPr>
              <w:t>QTDE.</w:t>
            </w:r>
          </w:p>
        </w:tc>
        <w:tc>
          <w:tcPr>
            <w:tcW w:w="1516"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ind w:hanging="80" w:left="80"/>
              <w:jc w:val="center"/>
              <w:rPr/>
            </w:pPr>
            <w:r>
              <w:rPr>
                <w:rFonts w:cs="Arial" w:ascii="Verdana" w:hAnsi="Verdana"/>
                <w:b/>
                <w:color w:val="000000"/>
                <w:sz w:val="20"/>
                <w:szCs w:val="20"/>
              </w:rPr>
              <w:t>Preço Unitário Estimativo</w:t>
            </w:r>
          </w:p>
        </w:tc>
        <w:tc>
          <w:tcPr>
            <w:tcW w:w="166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cs="Arial" w:ascii="Verdana" w:hAnsi="Verdana"/>
                <w:b/>
                <w:color w:val="000000"/>
                <w:sz w:val="20"/>
                <w:szCs w:val="20"/>
              </w:rPr>
              <w:t>Preço Total Estimado</w:t>
            </w:r>
          </w:p>
        </w:tc>
      </w:tr>
      <w:tr>
        <w:trPr>
          <w:trHeight w:val="269" w:hRule="atLeast"/>
        </w:trPr>
        <w:tc>
          <w:tcPr>
            <w:tcW w:w="742"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cs="Arial" w:ascii="Verdana" w:hAnsi="Verdana"/>
                <w:color w:val="000000"/>
                <w:sz w:val="20"/>
                <w:szCs w:val="20"/>
              </w:rPr>
              <w:t>01</w:t>
            </w:r>
          </w:p>
        </w:tc>
        <w:tc>
          <w:tcPr>
            <w:tcW w:w="431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OVOS DE GALINHA</w:t>
            </w:r>
            <w:r>
              <w:rPr>
                <w:rFonts w:eastAsia="Arial" w:cs="Arial" w:ascii="Verdana" w:hAnsi="Verdana"/>
                <w:sz w:val="20"/>
                <w:szCs w:val="20"/>
              </w:rPr>
              <w:t xml:space="preserve"> - TIPO: BRANCO EXTRA; CLASSE A; FRESCOS DE CASCA POROSA, FOSCA, SECA E LIMPA, ÍNTEGRO, SEM MANCHAS E RACHADURAS; VALIDADE: MÍNIMO DE 15 DIAS A PARTIR DA DATA DE ENTREGA; LEGISLAÇÃO: CONFORME RESOLUÇÃO DO MINISTÉRIO DA AGRICULTURA Nº 1 DE 05/07/1991; ACONDICIONAMENTO: BANDEJA DE PAPELÃO; UNIDADE DE FORNECIMENTO: </w:t>
            </w:r>
            <w:r>
              <w:rPr>
                <w:rFonts w:eastAsia="Arial" w:cs="Arial" w:ascii="Verdana" w:hAnsi="Verdana"/>
                <w:b/>
                <w:bCs/>
                <w:sz w:val="20"/>
                <w:szCs w:val="20"/>
              </w:rPr>
              <w:t>CARTELA C/ 30 UND</w:t>
            </w:r>
            <w:r>
              <w:rPr>
                <w:rFonts w:eastAsia="Arial" w:cs="Arial" w:ascii="Verdana" w:hAnsi="Verdana"/>
                <w:sz w:val="20"/>
                <w:szCs w:val="20"/>
              </w:rPr>
              <w:t>.</w:t>
            </w:r>
          </w:p>
        </w:tc>
        <w:tc>
          <w:tcPr>
            <w:tcW w:w="803" w:type="dxa"/>
            <w:tcBorders>
              <w:top w:val="single" w:sz="8" w:space="0" w:color="000000"/>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Cart</w:t>
            </w:r>
          </w:p>
        </w:tc>
        <w:tc>
          <w:tcPr>
            <w:tcW w:w="96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eastAsia="Arial" w:cs="Arial" w:ascii="Verdana" w:hAnsi="Verdana"/>
                <w:color w:val="000000"/>
                <w:sz w:val="20"/>
                <w:szCs w:val="20"/>
              </w:rPr>
              <w:t>1.572</w:t>
            </w:r>
          </w:p>
        </w:tc>
        <w:tc>
          <w:tcPr>
            <w:tcW w:w="1516"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R$ 16,50</w:t>
            </w:r>
          </w:p>
        </w:tc>
        <w:tc>
          <w:tcPr>
            <w:tcW w:w="166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R$ 25.938,00</w:t>
            </w:r>
          </w:p>
        </w:tc>
      </w:tr>
      <w:tr>
        <w:trPr>
          <w:trHeight w:val="269" w:hRule="atLeast"/>
        </w:trPr>
        <w:tc>
          <w:tcPr>
            <w:tcW w:w="742"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cs="Arial" w:ascii="Verdana" w:hAnsi="Verdana"/>
                <w:color w:val="000000"/>
                <w:sz w:val="20"/>
                <w:szCs w:val="20"/>
              </w:rPr>
              <w:t>02</w:t>
            </w:r>
          </w:p>
        </w:tc>
        <w:tc>
          <w:tcPr>
            <w:tcW w:w="431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CEBOLA</w:t>
            </w:r>
            <w:r>
              <w:rPr>
                <w:rFonts w:eastAsia="Arial" w:cs="Arial" w:ascii="Verdana" w:hAnsi="Verdana"/>
                <w:sz w:val="20"/>
                <w:szCs w:val="20"/>
              </w:rPr>
              <w:t xml:space="preserve"> - COR: BRANCA; APRESENTAÇÃO: IN NATURA; GRAU DE EVOLUÇÃO: BEM DESENVOLVIDA; QUALIDADE: DE 1ª QUALIDADE; CARACTERÍSTICAS FÍSICAS: TAMANHO, COLORAÇÃO UNIFORME, FIRME E INTACTO; ASPECTO: COR, CHEIRO E SABOR PRÓPRIO; HIGIÊNICO SANITÁRIAS: ISENTOS DE SUJIDADES, PARASITAS E LARVAS; DANIFICAÇÃO: SEM DANOS FÍSICOS ORIUNDOS DO MANUSEIO E TRANSPORTE; LEGISLAÇÃO: CONFORME PORTARIA CVS 06/99, DE 10/03/1999, CONFORME RESOLUÇÃO RDC272, DE 22/09/2005, DA ANVISA E SUAS ALTERAÇÕES POSTERIORES; ACONDICIONAMENTO: EMBALAGEM PLÁSTICA ATÓXICA COM ATÉ 2KG.</w:t>
            </w:r>
          </w:p>
        </w:tc>
        <w:tc>
          <w:tcPr>
            <w:tcW w:w="803" w:type="dxa"/>
            <w:tcBorders>
              <w:top w:val="single" w:sz="8" w:space="0" w:color="000000"/>
              <w:left w:val="single" w:sz="8" w:space="0" w:color="000000"/>
              <w:bottom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kg</w:t>
            </w:r>
          </w:p>
        </w:tc>
        <w:tc>
          <w:tcPr>
            <w:tcW w:w="96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2"/>
              <w:spacing w:lineRule="auto" w:line="240"/>
              <w:jc w:val="center"/>
              <w:rPr>
                <w:rFonts w:ascii="Verdana" w:hAnsi="Verdana" w:eastAsia="Arial" w:cs="Arial"/>
                <w:color w:val="000000"/>
                <w:sz w:val="20"/>
                <w:szCs w:val="20"/>
              </w:rPr>
            </w:pPr>
            <w:r>
              <w:rPr>
                <w:rFonts w:eastAsia="Arial" w:cs="Arial" w:ascii="Verdana" w:hAnsi="Verdana"/>
                <w:color w:val="000000"/>
                <w:sz w:val="20"/>
                <w:szCs w:val="20"/>
              </w:rPr>
            </w:r>
          </w:p>
          <w:p>
            <w:pPr>
              <w:pStyle w:val="normal2"/>
              <w:spacing w:lineRule="auto" w:line="240"/>
              <w:jc w:val="center"/>
              <w:rPr/>
            </w:pPr>
            <w:r>
              <w:rPr>
                <w:rFonts w:eastAsia="Arial" w:cs="Arial" w:ascii="Verdana" w:hAnsi="Verdana"/>
                <w:color w:val="000000"/>
                <w:sz w:val="20"/>
                <w:szCs w:val="20"/>
              </w:rPr>
              <w:t>1.638</w:t>
            </w:r>
          </w:p>
        </w:tc>
        <w:tc>
          <w:tcPr>
            <w:tcW w:w="1516"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R$ 5,98</w:t>
            </w:r>
          </w:p>
        </w:tc>
        <w:tc>
          <w:tcPr>
            <w:tcW w:w="166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R$ 9.795,24</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03</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BATATA INGLESA</w:t>
            </w:r>
            <w:r>
              <w:rPr>
                <w:rFonts w:eastAsia="Arial" w:cs="Arial" w:ascii="Verdana" w:hAnsi="Verdana"/>
                <w:sz w:val="20"/>
                <w:szCs w:val="20"/>
              </w:rPr>
              <w:t xml:space="preserve"> VARIEDADE: INGLESA; COR DA CASCA: AMARELA-CLARA; COR DA POLPA: AMARELA-CLARA; MATURAÇÃO: SEMIPRECOCE A SEMITARDIA; LAVADA; TAMANHO MÉDIO A GRANDE; DE 1ª QUALIDADE; CARACTERÍSTICAS FÍSICAS: COLORAÇÃO UNIFORME, FIRME E INTACTO; HIGIÊNICO SANITÁRIAS: ISENTOS DE SUJIDADES, PARASITAS E LARVAS; DANIFICAÇÃO: SEM DANOS FÍSICOS ORIUNDOS DO MANUSEIO E TRANSPORTE; LEGISLAÇÃO: CONFORME RESOLUÇÃO RDC 272, DE 22/09/2005, DA ANVISA E SUAS ALTERAÇÕES POSTERIORES; ACONDICIONAMENTO: SACO VAZADO; UNIDADE DE FORNECIMENTO:  ATÉ 4KG</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1.647</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R$ 6,50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R$ 10.705,50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04</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ALHO</w:t>
            </w:r>
            <w:r>
              <w:rPr>
                <w:rFonts w:eastAsia="Arial" w:cs="Arial" w:ascii="Verdana" w:hAnsi="Verdana"/>
                <w:sz w:val="20"/>
                <w:szCs w:val="20"/>
              </w:rPr>
              <w:t xml:space="preserve"> - TIPO: EXTRA, BRANCO OU ROXO; GRAU DE EVOLUÇÃO: BEM DESENVOLVIDO; QUALIDADE: DE 1ª QUALIDADE; CARACTERÍSTICAS FÍSICAS: TAMANHO, COLORAÇÃO UNIFORME, FIRME, CASCA SÃ, SEM RÉSTIA, BULBO INTERIÇO; ASPECTO: COR, CHEIRO E SABOR PRÓPRIO; HIGIÊNICO SANITÁRIAS: ISENTOS DE SUJIDADES, PARASITAS E LARVAS;   UNIDADE DE FORNECIMENTO: EMBALAGEM PLÁSTICA ATÓXICA COM ATÉ 2KG.</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1308</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R$ 19,98</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R$ 26.133,84</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05</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FILE DE PEITO DE FRANGO – carne de frango (FILÉ DE PEITO)(,</w:t>
            </w:r>
            <w:r>
              <w:rPr>
                <w:rFonts w:eastAsia="Arial" w:cs="Arial" w:ascii="Verdana" w:hAnsi="Verdana"/>
                <w:sz w:val="20"/>
                <w:szCs w:val="20"/>
              </w:rPr>
              <w:t xml:space="preserve"> SEM PELE E SEM OSSO, SEM TEMPERO, NÃO AMOLECIDA NEM PEGAJOSA, CONGELADA A -12°C; COM ASPECTO, ODOR E SABOR CARACTERÍSTICOS; ACONDICIONADA EM BANDEJAS DE ISOPOR E SACO PLÁSTICO ATÓXICO E RESISTENTE, PESANDO 1KG. CONSTANDO OBRIGATORIAMENTE REGISTRO NO SIF/DIPOA E TODAS AS INFORMAÇÕES DE ROTULAGEM; DATA DE FABRICAÇÃO E VALIDADE;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8.040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R$ 18,50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R$ 148.740,00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06</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CARNE BOVINA DE PRIMEIRA (PATINHO),</w:t>
            </w:r>
            <w:r>
              <w:rPr>
                <w:rFonts w:eastAsia="Arial" w:cs="Arial" w:ascii="Verdana" w:hAnsi="Verdana"/>
                <w:sz w:val="20"/>
                <w:szCs w:val="20"/>
              </w:rPr>
              <w:t xml:space="preserve"> LIMPA, CONTENDO EM TORNO DE 4 A 5% NO MÁXIMO DE GORDURA; SEM APONEVROSE; CONSERVAÇÃO: CONGELADA (-12°C); ASPECTO: COR, CHEIRO E SABOR PRÓPRIO; HIGIÊNICO SANITÁRIA: ISENTOS DE SUJIDADES, PARASITAS E LARVAS; LEGISLAÇÃO: CONFORME LEI 6.925, DE 17/12/2001; CONTENDO REGISTRO DE INSPEÇÃO; UNIDADE DE FORNECIMENTO: PACOTE DE 1  A 2 KG.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4.620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R$ 36,75</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R$ 169.785,00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07</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CARNE BOVINA MOÍDA - ACÉM BOVINO MOÍDO</w:t>
            </w:r>
            <w:r>
              <w:rPr>
                <w:rFonts w:eastAsia="Arial" w:cs="Arial" w:ascii="Verdana" w:hAnsi="Verdana"/>
                <w:sz w:val="20"/>
                <w:szCs w:val="20"/>
              </w:rPr>
              <w:t>, LIMPO, MAGRO (MÁXIMO DE 10% DE GORDURA), SEM OSSO, CONGELADO, COM COR, SABOR E ODOR CARACTERÍSTICOS DO PRODUTO DE BOA QUALIDADE, AUSÊNCIA DE SEBOS, ACONDICIONADO EM EMBALAGENS TRANSPARENTE E RESISTENTE, COM DENOMINAÇÃO DO NOME DO PRODUTO, FABRICANTE, ENDEREÇO, REGISTRO NO MINISTÉRIO DA AGRICULTURA (SIF, IMA OU SIM), DATA DE FABRICAÇÃO E VALIDADE.  UNIDADE DE FORNECIMENTO: PACOTE DE 1KG.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6.420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R$ 29,80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R$ 191.316,00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08</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POLPA DE FRUTA NATURAL</w:t>
            </w:r>
            <w:r>
              <w:rPr>
                <w:rFonts w:eastAsia="Arial" w:cs="Arial" w:ascii="Verdana" w:hAnsi="Verdana"/>
                <w:sz w:val="20"/>
                <w:szCs w:val="20"/>
              </w:rPr>
              <w:t xml:space="preserve">, SABOR: </w:t>
            </w:r>
            <w:r>
              <w:rPr>
                <w:rFonts w:eastAsia="Arial" w:cs="Arial" w:ascii="Verdana" w:hAnsi="Verdana"/>
                <w:b/>
                <w:bCs/>
                <w:sz w:val="20"/>
                <w:szCs w:val="20"/>
              </w:rPr>
              <w:t>MANGA</w:t>
            </w:r>
            <w:r>
              <w:rPr>
                <w:rFonts w:eastAsia="Arial" w:cs="Arial" w:ascii="Verdana" w:hAnsi="Verdana"/>
                <w:sz w:val="20"/>
                <w:szCs w:val="20"/>
              </w:rPr>
              <w:t>, CONGELADA A - 18ºC. ISENTA DE CONTAMINAÇÃO COM SUBSTÂNCIAS ESTRANHAS A SUA COMPOSIÇÃO NORMAL, SEM FRAGMENTOS DAS PARTES NÃO COMESTÍVEIS DA FRUTA. EM EMBALAGEM DE 1KG COM IDENTIFICAÇÃO DO PRODUTO, MARCA DO FABRICANTE, DATA DE FABRICAÇÃO E PRAZO DE VALIDADE, DE ACORDO COM A RESOLUÇÃO 12/78 DA CNNPA. O PRODUTO DEVERÁ TER REGISTRO NO MINISTÉRIO DA AGRICULTURA E/OU MINISTÉRIO DA SAÚDE. VALIDADE MÍNIMA DE 06 MESES APÓS A ENTREGA.1530</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1.980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R$ 11,99</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R$ 23.740,20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09</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POLPA DE FRUTA NATURAL</w:t>
            </w:r>
            <w:r>
              <w:rPr>
                <w:rFonts w:eastAsia="Arial" w:cs="Arial" w:ascii="Verdana" w:hAnsi="Verdana"/>
                <w:sz w:val="20"/>
                <w:szCs w:val="20"/>
              </w:rPr>
              <w:t xml:space="preserve">, SABOR: </w:t>
            </w:r>
            <w:r>
              <w:rPr>
                <w:rFonts w:eastAsia="Arial" w:cs="Arial" w:ascii="Verdana" w:hAnsi="Verdana"/>
                <w:b/>
                <w:bCs/>
                <w:sz w:val="20"/>
                <w:szCs w:val="20"/>
              </w:rPr>
              <w:t>GOIABA</w:t>
            </w:r>
            <w:r>
              <w:rPr>
                <w:rFonts w:eastAsia="Arial" w:cs="Arial" w:ascii="Verdana" w:hAnsi="Verdana"/>
                <w:sz w:val="20"/>
                <w:szCs w:val="20"/>
              </w:rPr>
              <w:t>, CONGELADA A - 18ºC. ISENTA DE CONTAMINAÇÃO COM SUBSTANCIAS ESTRANHAS A SUA COMPOSIÇÃO NORMAL, SEM FRAGMENTOS DAS PARTES NÃO COMESTÍVEIS DA FRUTA. EM EMBALAGEM DE 1KG COM IDENTIFICAÇÃO DO PRODUTO, MARCA DO FABRICANTE, DATA DE FABRICAÇÃO E PRAZO DE VALIDADE, DE ACORDO COM A RESOLUÇÃO 12/78 DA CNNPA. O PRODUTO DEVERÁ TER REGISTRO NO MINISTÉRIO DA AGRICULTURA E/OU MINISTÉRIO DA SAÚDE.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1.980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R$ 11,00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R$ 21.780,00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10</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REQUEIJÃO CREMOSO</w:t>
            </w:r>
            <w:r>
              <w:rPr>
                <w:rFonts w:eastAsia="Arial" w:cs="Arial" w:ascii="Verdana" w:hAnsi="Verdana"/>
                <w:sz w:val="20"/>
                <w:szCs w:val="20"/>
              </w:rPr>
              <w:t xml:space="preserve"> DE BOA QUALIDADE, ISENTO DE RANÇO E OUTRAS CARACTERÍSTICAS INDESEJAVEIS; TEXTURA CREMOSA, COR, CHEIRO E SABOR CARACTERÍSTICOS.O PRODUTO DEVE SER CLASSIFICADO COMO PROCESSADO E NÃO ULTRAPROCESSADO; NÃO DEVE CONTER MAIS DE 165MG DE SÓDIO POR PORÇÃO. O PRODUTO DEVERÁ ESTAR DE ACORDO COM A PORTARIA Nº359 DE 04/09/1997 DO MAPA E RESOLUÇÃO FNDE Nº 26 DE 17/06/13. CONSTANDO OBRIGATORIAMENTE REGISTRO NO SIF/DIPOA. DEVERÁ SER TRANSPORTADO E ENTREGUE À TEMPERATURA ENTRE 04 E 10°C. EMBALAGEM PRIMÁRIA: COPO PLÁSTICO DE POLIPROPILENO, ATÓXICO, COM LACRE DE PROTEÇÃO DE ALUMÍNIO, CONTENDO NO MÍNIMO 400 GRAMAS.  VALIDADE MÍNIMA DE 3 MESES APÓS A ENTREGA. LEITE PARCIALMENTE DESNATADO, CREME DE LEITE  PASTEURIZADO, AMIDO MODIFICADO E PROTEÍNAS LÁCTEAS, CLORETO DE SÓDIO (SAL), FERMENTO LÁCTEO, ESTABILIZANTE CITRATO DE SÓDIO  E FOSFATO DE SÓDIO E CONSERVANTE SORBATO DE POTÁSSIO.</w:t>
            </w:r>
          </w:p>
          <w:p>
            <w:pPr>
              <w:pStyle w:val="Normal"/>
              <w:spacing w:lineRule="auto" w:line="240"/>
              <w:jc w:val="both"/>
              <w:rPr>
                <w:rFonts w:ascii="Verdana" w:hAnsi="Verdana" w:eastAsia="Arial" w:cs="Arial"/>
                <w:sz w:val="20"/>
                <w:szCs w:val="20"/>
              </w:rPr>
            </w:pPr>
            <w:r>
              <w:rPr>
                <w:rFonts w:eastAsia="Arial" w:cs="Arial" w:ascii="Verdana" w:hAnsi="Verdana"/>
                <w:sz w:val="20"/>
                <w:szCs w:val="20"/>
              </w:rPr>
            </w:r>
          </w:p>
          <w:p>
            <w:pPr>
              <w:pStyle w:val="Normal"/>
              <w:spacing w:lineRule="auto" w:line="240"/>
              <w:jc w:val="both"/>
              <w:rPr/>
            </w:pPr>
            <w:r>
              <w:rPr>
                <w:rFonts w:eastAsia="Arial" w:cs="Arial" w:ascii="Verdana" w:hAnsi="Verdana"/>
                <w:sz w:val="20"/>
                <w:szCs w:val="20"/>
              </w:rPr>
              <w:t>MARCAS PARA REFERÊNCIA DE QUALIDADE: DAMARE, PORTO ALEGRE, VIGOR OU SIMILARES.</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Pote</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1.668</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R$ 10,99</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R$ 18.331,32</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11</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LEITE EM PÓ SEM LACTOSE</w:t>
            </w:r>
            <w:r>
              <w:rPr>
                <w:rFonts w:eastAsia="Arial" w:cs="Arial" w:ascii="Verdana" w:hAnsi="Verdana"/>
                <w:sz w:val="20"/>
                <w:szCs w:val="20"/>
              </w:rPr>
              <w:t>, COMPOSTO POR: LEITE INTEGRAL, ENZIMA LACTASE, VITAMINAS A, C e D. EMULSIFICANTE LECITINA DE SOJA, ISENTO DE MALTODEXTRINA PARA DIETAS COM RESTRIÇÃO A LACTOSE, EMBALAGEM: PACOTE COM 300G, VALIDADE DE 06 MESES APÓS A DATA DE ENTREGA.</w:t>
            </w:r>
          </w:p>
          <w:p>
            <w:pPr>
              <w:pStyle w:val="Normal"/>
              <w:spacing w:lineRule="auto" w:line="240"/>
              <w:jc w:val="both"/>
              <w:rPr>
                <w:rFonts w:ascii="Verdana" w:hAnsi="Verdana" w:eastAsia="Arial" w:cs="Arial"/>
                <w:sz w:val="20"/>
                <w:szCs w:val="20"/>
              </w:rPr>
            </w:pPr>
            <w:r>
              <w:rPr>
                <w:rFonts w:eastAsia="Arial" w:cs="Arial" w:ascii="Verdana" w:hAnsi="Verdana"/>
                <w:sz w:val="20"/>
                <w:szCs w:val="20"/>
              </w:rPr>
            </w:r>
          </w:p>
          <w:p>
            <w:pPr>
              <w:pStyle w:val="Normal"/>
              <w:spacing w:lineRule="auto" w:line="240"/>
              <w:jc w:val="both"/>
              <w:rPr/>
            </w:pPr>
            <w:r>
              <w:rPr>
                <w:rFonts w:eastAsia="Arial" w:cs="Arial" w:ascii="Verdana" w:hAnsi="Verdana"/>
                <w:sz w:val="20"/>
                <w:szCs w:val="20"/>
              </w:rPr>
              <w:t>MARCAS PARA REFERÊNCIA DE QUALIDADE:  ITAMBÉ, CAMPONESA, DANBY, PIRACANJUBA OU SIMILARES.</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Un</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100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R$ 22,50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R$ 2.250,00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12</w:t>
            </w:r>
          </w:p>
        </w:tc>
        <w:tc>
          <w:tcPr>
            <w:tcW w:w="4319" w:type="dxa"/>
            <w:tcBorders>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both"/>
              <w:rPr/>
            </w:pPr>
            <w:r>
              <w:rPr>
                <w:rFonts w:eastAsia="Arial" w:cs="Arial" w:ascii="Verdana" w:hAnsi="Verdana"/>
                <w:b/>
                <w:bCs/>
                <w:sz w:val="20"/>
                <w:szCs w:val="20"/>
              </w:rPr>
              <w:t>LEITE DE SOJA SEM LACTOSE</w:t>
            </w:r>
            <w:r>
              <w:rPr>
                <w:rFonts w:eastAsia="Arial" w:cs="Arial" w:ascii="Verdana" w:hAnsi="Verdana"/>
                <w:sz w:val="20"/>
                <w:szCs w:val="20"/>
              </w:rPr>
              <w:t xml:space="preserve"> COMPOSIÇÃO:</w:t>
            </w:r>
          </w:p>
          <w:p>
            <w:pPr>
              <w:pStyle w:val="Normal"/>
              <w:widowControl w:val="false"/>
              <w:spacing w:lineRule="auto" w:line="240"/>
              <w:jc w:val="both"/>
              <w:rPr/>
            </w:pPr>
            <w:r>
              <w:rPr>
                <w:rFonts w:eastAsia="Arial" w:cs="Arial" w:ascii="Verdana" w:hAnsi="Verdana"/>
                <w:sz w:val="20"/>
                <w:szCs w:val="20"/>
              </w:rPr>
              <w:t>MISTURA À BASE DE PROTEÍNA ISOLADA DE SOJA (PROTEÍNA ISOLADA DE SOJA, ÓLEO DE PALMA, XAROPE DE MILHO, AÇÚCAR, FOSFATO DE CÁLCIO, CITRATO DE POTÁSSIO, FOSFATO DE POTÁSSIO DIBÁSICO, SAL, FOSFATO DE MAGNÉSIO, ÁCIDO ASCÓRBICO, ÓXIDO DE ZINCO, PIROFOSFATO FÉRRICO, PANTOTENATO DE CÁLCIO, RIBOFLAVINA, VITAMINA A, NIACINAMIDA, VITAMINA B6, MONONITRATO DE TIAMINA, IODETO DE POTÁSSIO, ÁCIDO FÓLICO, VITAMINA D, VITAMINA B12, EMULSIFICANTES LECITINA E MONO E DIGLICERÍDEOS DE ÁCIDOS GRAXOS, AROMATIZANTE E CORANTE NATURAL BETACAROTENO), AÇÚCAR, MALTODEXTRINA E AROMA IDÊNTICO AO NATURAL DE BAUNILHA. EMBALAGEM: LATA DE 300G.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Lata</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80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R$ 40,00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R$ 3.200,00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13</w:t>
            </w:r>
          </w:p>
        </w:tc>
        <w:tc>
          <w:tcPr>
            <w:tcW w:w="4319" w:type="dxa"/>
            <w:tcBorders>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both"/>
              <w:rPr/>
            </w:pPr>
            <w:r>
              <w:rPr>
                <w:rFonts w:eastAsia="Arial" w:cs="Arial" w:ascii="Verdana" w:hAnsi="Verdana"/>
                <w:b/>
                <w:bCs/>
                <w:sz w:val="20"/>
                <w:szCs w:val="20"/>
              </w:rPr>
              <w:t>LEITE EM PÓ INTEGRAL</w:t>
            </w:r>
            <w:r>
              <w:rPr>
                <w:rFonts w:eastAsia="Arial" w:cs="Arial" w:ascii="Verdana" w:hAnsi="Verdana"/>
                <w:sz w:val="20"/>
                <w:szCs w:val="20"/>
              </w:rPr>
              <w:t xml:space="preserve"> INSTANTÂNEO DE ÓTIMA QUALIDADE; SEM AÇÚCAR; INGREDIENTES: LEITE INTEGRAL EM PÓ E LECITINA DE SOJA; CHEIRO, SABOR E TEXTURA CARACTERÍSTICOS AGRADÁVEIS. EM ACORDO COM AS ESPECIFICAÇÕES TÉCNICAS DA PORTARIA 369/1997 DO MAPA. EMBALAGEM DE 400G, ATÓXICA, RESISTENTE, NÃO VIOLADA ORIGINAL DO FABRICANTE.VALIDADE MÍNIMA DE 8 MESES APÓS A ENTREGA.</w:t>
            </w:r>
          </w:p>
          <w:p>
            <w:pPr>
              <w:pStyle w:val="Normal"/>
              <w:widowControl w:val="false"/>
              <w:spacing w:lineRule="auto" w:line="240"/>
              <w:jc w:val="both"/>
              <w:rPr>
                <w:rFonts w:ascii="Verdana" w:hAnsi="Verdana" w:eastAsia="Arial" w:cs="Arial"/>
                <w:sz w:val="20"/>
                <w:szCs w:val="20"/>
              </w:rPr>
            </w:pPr>
            <w:r>
              <w:rPr>
                <w:rFonts w:eastAsia="Arial" w:cs="Arial" w:ascii="Verdana" w:hAnsi="Verdana"/>
                <w:sz w:val="20"/>
                <w:szCs w:val="20"/>
              </w:rPr>
            </w:r>
          </w:p>
          <w:p>
            <w:pPr>
              <w:pStyle w:val="Normal"/>
              <w:widowControl w:val="false"/>
              <w:spacing w:lineRule="auto" w:line="240"/>
              <w:jc w:val="both"/>
              <w:rPr/>
            </w:pPr>
            <w:r>
              <w:rPr>
                <w:rFonts w:eastAsia="Arial" w:cs="Arial" w:ascii="Verdana" w:hAnsi="Verdana"/>
                <w:sz w:val="20"/>
                <w:szCs w:val="20"/>
              </w:rPr>
              <w:t>MARCAS PARA REFERÊNCIA DE QUALIDADE: CAMPONESA, ITAMBÉ, PIRACANJUBA OU SIMILAR.</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pct</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3.000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R$ 16,20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R$ 48.600,00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14</w:t>
            </w:r>
          </w:p>
        </w:tc>
        <w:tc>
          <w:tcPr>
            <w:tcW w:w="4319" w:type="dxa"/>
            <w:tcBorders>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both"/>
              <w:rPr/>
            </w:pPr>
            <w:r>
              <w:rPr>
                <w:rFonts w:eastAsia="Arial" w:cs="Arial" w:ascii="Verdana" w:hAnsi="Verdana"/>
                <w:b/>
                <w:bCs/>
                <w:sz w:val="20"/>
                <w:szCs w:val="20"/>
              </w:rPr>
              <w:t>CANJIQUINHA DE MILHO</w:t>
            </w:r>
            <w:r>
              <w:rPr>
                <w:rFonts w:eastAsia="Arial" w:cs="Arial" w:ascii="Verdana" w:hAnsi="Verdana"/>
                <w:sz w:val="20"/>
                <w:szCs w:val="20"/>
              </w:rPr>
              <w:t>, FINO A MÉDIO, SUBPRODUTO DO GRÃO DE MILHO, ISENTO DE UMIDADE E FRAGMENTOS ESTRANHOS, EM EMBALAGEM DE POLIETILENO TRANSPARENTE ORIGINAL DO FABRICANTE EM PCT DE ATÉ 01KG. VALIDADE MÍNIMA DE 4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1.200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R$ 4,98</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R$ 5.976,00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15</w:t>
            </w:r>
          </w:p>
        </w:tc>
        <w:tc>
          <w:tcPr>
            <w:tcW w:w="4319" w:type="dxa"/>
            <w:tcBorders>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both"/>
              <w:rPr/>
            </w:pPr>
            <w:r>
              <w:rPr>
                <w:rFonts w:eastAsia="Arial" w:cs="Arial" w:ascii="Verdana" w:hAnsi="Verdana"/>
                <w:b/>
                <w:bCs/>
                <w:sz w:val="20"/>
                <w:szCs w:val="20"/>
              </w:rPr>
              <w:t>FERMENTO QUÍMICO EM PÓ</w:t>
            </w:r>
            <w:r>
              <w:rPr>
                <w:rFonts w:eastAsia="Arial" w:cs="Arial" w:ascii="Verdana" w:hAnsi="Verdana"/>
                <w:sz w:val="20"/>
                <w:szCs w:val="20"/>
              </w:rPr>
              <w:t xml:space="preserve"> ASPECTO, COR, CHEIRO E SABOR PRÓPRIOS. O PRODUTO DEVERÁ ESTAR EM CONFORMIDADE COM AS LEIS ESPECIFICAS VIGENTES. INGREDIENTES: AMIDO DE MILHO GENETICAMENTE MODIFICADO (ESPÉCIES DOADORAS: AGROBACTERIUM TUMEFACIENS, BACILLUS THURINGIENSIS, SPHINGOBIUM HERBICIDOROVANS, STREPTOMYCES VIRIDOCHROMOGENES E ZEA MAYS), BICARBONATO DE SÓDIO, FOSFATO MONOCALCICO E CARBONATO DE CÁLCIO. A ROTULAGEM DEVE CONTER NO MÍNIMO AS SEGUINTES INFORMAÇÕES: NOME E/OU MARCA, INGREDIENTES, DATA DE VALIDADE, LOTE. COM REGISTRO NO MINISTÉRIO DA AGRICULTURA – SIF. PARA MELHOR SEGURANÇA E CONSERVAÇÃO, ABAIXO DA TAMPA DA EMBALAGEM DEVE TER O LACRE E PROTEÇÃO DE PAPEL E ALUMÍNIO.  ACONDICIONADO EM EMBALAGEM DE 250G.  VALIDADE: MÍNIMO DE 6 MESES A PARTIR DA DATA DE ENTREGA.</w:t>
            </w:r>
          </w:p>
          <w:p>
            <w:pPr>
              <w:pStyle w:val="Normal"/>
              <w:widowControl w:val="false"/>
              <w:spacing w:lineRule="auto" w:line="240"/>
              <w:jc w:val="both"/>
              <w:rPr>
                <w:rFonts w:ascii="Verdana" w:hAnsi="Verdana" w:eastAsia="Arial" w:cs="Arial"/>
                <w:sz w:val="20"/>
                <w:szCs w:val="20"/>
              </w:rPr>
            </w:pPr>
            <w:r>
              <w:rPr>
                <w:rFonts w:eastAsia="Arial" w:cs="Arial" w:ascii="Verdana" w:hAnsi="Verdana"/>
                <w:sz w:val="20"/>
                <w:szCs w:val="20"/>
              </w:rPr>
            </w:r>
          </w:p>
          <w:p>
            <w:pPr>
              <w:pStyle w:val="Normal"/>
              <w:widowControl w:val="false"/>
              <w:spacing w:lineRule="auto" w:line="240"/>
              <w:jc w:val="both"/>
              <w:rPr/>
            </w:pPr>
            <w:r>
              <w:rPr>
                <w:rFonts w:eastAsia="Arial" w:cs="Arial" w:ascii="Verdana" w:hAnsi="Verdana"/>
                <w:sz w:val="20"/>
                <w:szCs w:val="20"/>
              </w:rPr>
              <w:t>MARCAS PARA REFERÊNCIA DE QUALIDADE: ROYAL, FREISCHMAN E OU SIMILARES.</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Un</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300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R$ 14,70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R$ 4.410,00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16</w:t>
            </w:r>
          </w:p>
        </w:tc>
        <w:tc>
          <w:tcPr>
            <w:tcW w:w="4319" w:type="dxa"/>
            <w:tcBorders>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both"/>
              <w:rPr/>
            </w:pPr>
            <w:r>
              <w:rPr>
                <w:rFonts w:eastAsia="Arial" w:cs="Arial" w:ascii="Verdana" w:hAnsi="Verdana"/>
                <w:b/>
                <w:bCs/>
                <w:sz w:val="20"/>
                <w:szCs w:val="20"/>
              </w:rPr>
              <w:t>FERMENTO BIOLÓGICO SECO</w:t>
            </w:r>
            <w:r>
              <w:rPr>
                <w:rFonts w:eastAsia="Arial" w:cs="Arial" w:ascii="Verdana" w:hAnsi="Verdana"/>
                <w:sz w:val="20"/>
                <w:szCs w:val="20"/>
              </w:rPr>
              <w:t xml:space="preserve">, INSTANTÂNEO, OBTIDO DE CULTURAS PURAS DE LEVEDURA SACCHAROMYCES CEREVISIAS, ISENTO DE SUBSTÂNCIAS ESTRANHAS À COMPOSIÇÃO; CARACTERÍSTICAS ORGANOLETICAS: ASPECTO – PRÓPRIO; COR - PRÓPRIA; CHEIRO – PRÓPRIO; SABOR - PRÓPRIO. O PRODUTO DEVERÁ ESTAR EM CONFORMIDADE COM AS LEIS ESPECIFICAS VIGENTES. ACONDICIONADO EM EMBALAGEM DE </w:t>
            </w:r>
            <w:r>
              <w:rPr>
                <w:rFonts w:eastAsia="Arial" w:cs="Arial" w:ascii="Verdana" w:hAnsi="Verdana"/>
                <w:b/>
                <w:bCs/>
                <w:sz w:val="20"/>
                <w:szCs w:val="20"/>
              </w:rPr>
              <w:t>500G</w:t>
            </w:r>
            <w:r>
              <w:rPr>
                <w:rFonts w:eastAsia="Arial" w:cs="Arial" w:ascii="Verdana" w:hAnsi="Verdana"/>
                <w:sz w:val="20"/>
                <w:szCs w:val="20"/>
              </w:rPr>
              <w:t>. VALIDADE MÍNIMA DE 6 MESES APÓS A ENTREGA.</w:t>
            </w:r>
          </w:p>
          <w:p>
            <w:pPr>
              <w:pStyle w:val="Normal"/>
              <w:widowControl w:val="false"/>
              <w:spacing w:lineRule="auto" w:line="240"/>
              <w:jc w:val="both"/>
              <w:rPr>
                <w:rFonts w:ascii="Verdana" w:hAnsi="Verdana" w:eastAsia="Arial" w:cs="Arial"/>
                <w:sz w:val="20"/>
                <w:szCs w:val="20"/>
              </w:rPr>
            </w:pPr>
            <w:r>
              <w:rPr>
                <w:rFonts w:eastAsia="Arial" w:cs="Arial" w:ascii="Verdana" w:hAnsi="Verdana"/>
                <w:sz w:val="20"/>
                <w:szCs w:val="20"/>
              </w:rPr>
            </w:r>
          </w:p>
          <w:p>
            <w:pPr>
              <w:pStyle w:val="Normal"/>
              <w:widowControl w:val="false"/>
              <w:spacing w:lineRule="auto" w:line="240"/>
              <w:jc w:val="both"/>
              <w:rPr/>
            </w:pPr>
            <w:r>
              <w:rPr>
                <w:rFonts w:eastAsia="Arial" w:cs="Arial" w:ascii="Verdana" w:hAnsi="Verdana"/>
                <w:sz w:val="20"/>
                <w:szCs w:val="20"/>
              </w:rPr>
              <w:t>MARCAS PARA REFERÊNCIA DE QUALIDADE: FREISCHMAN, MAURI E DONA BENTA E OU SIMILARES.</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Un</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120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R$ 36,00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R$ 4.320,00</w:t>
            </w:r>
          </w:p>
        </w:tc>
      </w:tr>
      <w:tr>
        <w:trPr>
          <w:trHeight w:val="2814"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17</w:t>
            </w:r>
          </w:p>
        </w:tc>
        <w:tc>
          <w:tcPr>
            <w:tcW w:w="4319" w:type="dxa"/>
            <w:tcBorders>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both"/>
              <w:rPr/>
            </w:pPr>
            <w:r>
              <w:rPr>
                <w:rFonts w:eastAsia="Arial" w:cs="Arial" w:ascii="Verdana" w:hAnsi="Verdana"/>
                <w:b/>
                <w:bCs/>
                <w:sz w:val="20"/>
                <w:szCs w:val="20"/>
              </w:rPr>
              <w:t>MACARRÃO TIPO: ESPAGUETE</w:t>
            </w:r>
            <w:r>
              <w:rPr>
                <w:rFonts w:eastAsia="Arial" w:cs="Arial" w:ascii="Verdana" w:hAnsi="Verdana"/>
                <w:sz w:val="20"/>
                <w:szCs w:val="20"/>
              </w:rPr>
              <w:t>; COM SÊMOLA; ISENTO FRAGMENTOS ESTRANHOS, LIVRE DE UMIDADE; ACONDICIONAMENTO: EMBALAGEM PLÁSTICA ORIGINAL DE 1KG. LEGISLAÇÃO: CONFORME RESOLUÇÃO RDC N 263, DE 22/09/2005;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2.800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R$ 5,42</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R$ 15.176,00</w:t>
            </w:r>
          </w:p>
        </w:tc>
      </w:tr>
      <w:tr>
        <w:trPr>
          <w:trHeight w:val="273"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18</w:t>
            </w:r>
          </w:p>
        </w:tc>
        <w:tc>
          <w:tcPr>
            <w:tcW w:w="4319" w:type="dxa"/>
            <w:tcBorders>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both"/>
              <w:rPr/>
            </w:pPr>
            <w:r>
              <w:rPr>
                <w:rFonts w:eastAsia="Arial" w:cs="Arial" w:ascii="Verdana" w:hAnsi="Verdana"/>
                <w:b/>
                <w:bCs/>
                <w:sz w:val="20"/>
                <w:szCs w:val="20"/>
              </w:rPr>
              <w:t>MACARRÃO LETRINHA</w:t>
            </w:r>
            <w:r>
              <w:rPr>
                <w:rFonts w:eastAsia="Arial" w:cs="Arial" w:ascii="Verdana" w:hAnsi="Verdana"/>
                <w:sz w:val="20"/>
                <w:szCs w:val="20"/>
              </w:rPr>
              <w:t>; COM OVOS; ISENTO FRAGMENTOS ESTRANHOS, LIVRE DE UMIDADE; ACONDICIONAMENTO: EMBALAGEM PLÁSTICA ORIGINAL DE 500G. LEGISLAÇÃO: CONFORME RESOLUÇÃO RDC N 263, DE 22/09/2005;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Pct</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200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R$ 5,09</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R$ 1.018,00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19</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MACARRÃO TIPO PARAFUSO</w:t>
            </w:r>
            <w:r>
              <w:rPr>
                <w:rFonts w:eastAsia="Arial" w:cs="Arial" w:ascii="Verdana" w:hAnsi="Verdana"/>
                <w:sz w:val="20"/>
                <w:szCs w:val="20"/>
              </w:rPr>
              <w:t xml:space="preserve"> - ZERO GLÚTEN; COM ASPECTO, COR, ODOR E SABOR CARACTERÍSTICOS. ISENTO FRAGMENTOS ESTRANHOS, LIVRE DE UMIDADE; ACONDICIONAMENTO: EMBALAGEM PLÁSTICA ORIGINAL DE 500G. LEGISLAÇÃO: CONFORME RESOLUÇÃO RDC N 263, DE 22/09/2005;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Pct</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140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R$ 4,48</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R$ 627,20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20</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CONDIMENTO COLORÍFICO COLORAU</w:t>
            </w:r>
            <w:r>
              <w:rPr>
                <w:rFonts w:eastAsia="Arial" w:cs="Arial" w:ascii="Verdana" w:hAnsi="Verdana"/>
                <w:sz w:val="20"/>
                <w:szCs w:val="20"/>
              </w:rPr>
              <w:t xml:space="preserve"> FINO, HOMOGÊNEO, OBTIDO DE FRUTOS MADUROS DE URUCUM, LIMPOS, DESSECADOS E MOÍDOS, DE COLORAÇÃO AVERMELHADA, COM ASPECTO, COR, CHEIRO E SABOR PRÓPRIO; ISENTO DE MATERIAIS ESTRANHOS, ACONDICIONADO EM EMBALAGEM ORIGINAL COM 500G.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Pct</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640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R$ 9,60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R$ 6.144,00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21</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BISCOITO SALGADO TIPO CREAM CRACKER</w:t>
            </w:r>
            <w:r>
              <w:rPr>
                <w:rFonts w:eastAsia="Arial" w:cs="Arial" w:ascii="Verdana" w:hAnsi="Verdana"/>
                <w:sz w:val="20"/>
                <w:szCs w:val="20"/>
              </w:rPr>
              <w:t xml:space="preserve"> TEXTURA CROCANTE; COM ODOR, SABOR E COR CARACTERÍSTICOS; ISENTO DE PARASITAS E MATERIAIS ESTRANHOS. EMBALAGEM PRIMÁRIA PLÁSTICA DE 400G.  VALIDADE MÍNIMA DE 06 MESES APÓS A ENTREGA. ZERO GORDURA TRANS.</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Pct</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760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R$ 6,50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R$ 4.940,00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22</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BISCOITO DE POLVILHO SALGADO</w:t>
            </w:r>
            <w:r>
              <w:rPr>
                <w:rFonts w:eastAsia="Arial" w:cs="Arial" w:ascii="Verdana" w:hAnsi="Verdana"/>
                <w:sz w:val="20"/>
                <w:szCs w:val="20"/>
              </w:rPr>
              <w:t xml:space="preserve"> DE 100 GRAMAS SEM GLÚTEN, SEM LACTOSE, SEM LEITE E DERIVADOS, LEVE E CROCANTE, EMBALAGEM PLÁSTICA, ATÓXICA, RESISTENTE, NÃO VIOLADA, APRESENTANDO DADOS DO PRODUTO, IDENTIFICAÇÃO, PROCEDÊNCIA, INGREDIENTES, INFORMAÇÃO NUTRICIONAL, LOTE, GRAMATURA, DATA DE FABRICAÇÃO E VALIDADE, CONTENDO OS SEGUINTES INGREDIENTES: POLVILHO, GORDURA VEGETAL, OVOS E SAL, EMBALAGEM DE 100 GRAMAS.</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Un</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2.400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R$ 6,29</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R$ 15.096,00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23</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BISCOITO DOCE TIPO ROSQUINHA SABOR COCO</w:t>
            </w:r>
            <w:r>
              <w:rPr>
                <w:rFonts w:eastAsia="Arial" w:cs="Arial" w:ascii="Verdana" w:hAnsi="Verdana"/>
                <w:sz w:val="20"/>
                <w:szCs w:val="20"/>
              </w:rPr>
              <w:t>, SEM LACTOSE E SEM GLÚTEN. TEXTURA CROCANTE; COM ODOR, SABOR E COR CARACTERÍSTICOS; ISENTO DE PARASITAS E MATERIAIS ESTRANHOS. EMBALAGEM PRIMÁRIA PLÁSTICA DE 700G.  VALIDADE MÍNIMA DE 06 MESES APÓS A ENTREGA. ZERO GORDURA TRANS.</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Pct</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400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R$ 6,15</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R$ 2.460,00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24</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BISCOITO DOCE TIPO MAISENA OU MARIA</w:t>
            </w:r>
            <w:r>
              <w:rPr>
                <w:rFonts w:eastAsia="Arial" w:cs="Arial" w:ascii="Verdana" w:hAnsi="Verdana"/>
                <w:sz w:val="20"/>
                <w:szCs w:val="20"/>
              </w:rPr>
              <w:t xml:space="preserve"> TEXTURA CROCANTE; COM ODOR, SABOR E COR CARACTERÍSTICOS; ISENTO DE PARASITAS E MATERIAIS ESTRANHOS. EMBALAGEM PRIMÁRIA PLÁSTICA DE 400G.  VALIDADE MÍNIMA DE 06 MESES APÓS A ENTREGA. ZERO GORDURA TRANS.</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Pct</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760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R$ 5,59</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R$ 4.248,40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25</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AÇÚCAR CRISTALIZADO</w:t>
            </w:r>
            <w:r>
              <w:rPr>
                <w:rFonts w:eastAsia="Arial" w:cs="Arial" w:ascii="Verdana" w:hAnsi="Verdana"/>
                <w:sz w:val="20"/>
                <w:szCs w:val="20"/>
              </w:rPr>
              <w:t xml:space="preserve"> APRESENTAÇÃO: CRISTAL BRANCO; O PRODUTO DEVERÁ APRESENTAR REGISTRO NO ÓRGÃO COMPETENTE E INFORMAÇÕES NUTRICIONAIS; ACONDICIONAMENTO: EMBALAGEM PLÁSTICA ORIGINAL CONTENDO 2 KG.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2.400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R$ 4,00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R$ 9.600,00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26</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ARROZ</w:t>
            </w:r>
            <w:r>
              <w:rPr>
                <w:rFonts w:eastAsia="Arial" w:cs="Arial" w:ascii="Verdana" w:hAnsi="Verdana"/>
                <w:sz w:val="20"/>
                <w:szCs w:val="20"/>
              </w:rPr>
              <w:t xml:space="preserve"> CLASSE: BRANCO POLIDO; TIPO 1, LONGO, FINO, GRÃOS INTEIROS, ISENTO DE FRAGMENTOS ESTRANHOS, PARASITAS E DETRITOS; ACONDICIONAMENTO: EMBALAGEM PLÁSTICA ORIGINAL; LEGISLAÇÃO: CONFORME RESOLUÇÃO RDC N 263, DE 22/09/2005; UNIDADE DE FORNECIMENTO: EMBALAGEM COM 5 KG.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7.200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R$ 4,58</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R$ 32.976,00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27</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ÓLEO DE SOJA</w:t>
            </w:r>
            <w:r>
              <w:rPr>
                <w:rFonts w:eastAsia="Arial" w:cs="Arial" w:ascii="Verdana" w:hAnsi="Verdana"/>
                <w:sz w:val="20"/>
                <w:szCs w:val="20"/>
              </w:rPr>
              <w:t xml:space="preserve"> REFINADO TIPO 1, LÍQUIDO VISCOSO, FABRICADO A PARTIR DE MATÉRIAS PRIMAS SÃS E LIMPAS; EM EMBALAGEM PLÁSTICA ORIGINAL COM 900 ML. VALIDADE MÍNIMA DE 04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Un</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2.400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R$ 7,65</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R$ 18.360,00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28</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FEIJÃO CARIOCA</w:t>
            </w:r>
            <w:r>
              <w:rPr>
                <w:rFonts w:eastAsia="Arial" w:cs="Arial" w:ascii="Verdana" w:hAnsi="Verdana"/>
                <w:sz w:val="20"/>
                <w:szCs w:val="20"/>
              </w:rPr>
              <w:t>, TIPO 1, NOVO, GRÃOS INTEIROS, SEM FUROS, SEM MOFO, COM ODOR CARACTERÍSTICO, ISENTO DE FRAGMENTOS ESTRANHOS, PARASITAS E DETRITOS; ACONDICIONADO EM EMBALAGEM PLÁSTICA ORIGINAL COM 01 KG. VALIDADE MÍNIMA DE 04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3.200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R$ 8,98</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R$ 28.736,00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29</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FUBÁ PRÉ COZIDO</w:t>
            </w:r>
            <w:r>
              <w:rPr>
                <w:rFonts w:eastAsia="Arial" w:cs="Arial" w:ascii="Verdana" w:hAnsi="Verdana"/>
                <w:sz w:val="20"/>
                <w:szCs w:val="20"/>
              </w:rPr>
              <w:t xml:space="preserve"> ENRIQUECIDO COM FERRO, ÁCIDO FÓLICO E VITAMINA B9; ISENTO DE FRAGMENTOS ESTRANHOS, PARASITAS E DETRITOS; LEGISLAÇÃO: CONFORME RESOLUÇÃO RDC N 263, DE 22/09/2005; ACONDICIONAMENTO: EMBALAGEM ORIGINAL COM 01 KG. VALIDADE MÍNIMA DE 04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1.500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R$ 4,15</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R$ 6.225,00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30</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SAL REFINADO</w:t>
            </w:r>
            <w:r>
              <w:rPr>
                <w:rFonts w:eastAsia="Arial" w:cs="Arial" w:ascii="Verdana" w:hAnsi="Verdana"/>
                <w:sz w:val="20"/>
                <w:szCs w:val="20"/>
              </w:rPr>
              <w:t xml:space="preserve"> TIPO: REFINADO IODADO; ISENTO DE FRAGMENTOS ESTRANHOS, PARASITAS E DETRITOS; LIVRE DE UMIDADE; LEGISLAÇÃO: CONFORME RESOLUCAO RDC N 130, DE 26/05/2003; ACONDICIONAMENTO: EMBALAGEM PLASTICA ORIGINAL DE 01KG. VALIDADE: MÍNIMO DE 08 MESES A PARTIR DA DATA DE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1.000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R$ 2,25</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R$ 2.250,00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31</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FARINHA DE TRIGO</w:t>
            </w:r>
            <w:r>
              <w:rPr>
                <w:rFonts w:eastAsia="Arial" w:cs="Arial" w:ascii="Verdana" w:hAnsi="Verdana"/>
                <w:sz w:val="20"/>
                <w:szCs w:val="20"/>
              </w:rPr>
              <w:t xml:space="preserve"> PRODUTO COMPOSTO DE 100% FARINHA DE TRIGO ESPECIAL PARA CONSUMO, OBTIDO ATRAVÉS DA MOAGEM DE TRIGO E ENRIQUECIDA COM FERRO E ÁCIDO FÓLICO. ACONDICIONAMENTO: EMBALAGEM ORIGINAL COM 1KG; LEGISLAÇÃO: CONFORME RESOLUÇÃO RDC N 175, DE 08/07/2003; VALIDADE MÍNIMA DE 04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3.000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R$ 4,60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R$ 13.800,00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32</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FARINHA DE MANDIOCA</w:t>
            </w:r>
            <w:r>
              <w:rPr>
                <w:rFonts w:eastAsia="Arial" w:cs="Arial" w:ascii="Verdana" w:hAnsi="Verdana"/>
                <w:sz w:val="20"/>
                <w:szCs w:val="20"/>
              </w:rPr>
              <w:t xml:space="preserve"> de 1ª qualidade, FINA, SECA, ISENTO DE FRAGMENTOS ESTRANHOS, PARASITAS E DETRITOS, LIVRE DE UMIDADE, COM REGISTRO DO MINISTÉRIO COMPETENTE, EMBALAGEM CONTENDO DADOS DE IDENTIFICAÇÃO, PROCEDÊNCIA, INFORMAÇÃO NUTRICIONAL, NÚMERO DE LOTE E DATA DE VALIDADE. EMBALAGEM PLÁSTICA DE 01KG, VALIDADE MÍNIMA DE 06 MESES A PARTIR DA DATA DE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Pct</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300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R$ 4,10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R$ 1.230,00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33</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FARINHA DE AVEIA INTEGRAL</w:t>
            </w:r>
            <w:r>
              <w:rPr>
                <w:rFonts w:eastAsia="Arial" w:cs="Arial" w:ascii="Verdana" w:hAnsi="Verdana"/>
                <w:sz w:val="20"/>
                <w:szCs w:val="20"/>
              </w:rPr>
              <w:t xml:space="preserve"> RICA EM FIBRAS, PROTEÍNA, VITAMINA E SAIS MINERAIS.  ISENTA DE FRAGMENTOS ESTRANHOS, PARASITAS E DETRITOS; LIVRE DE UMIDADE; EMBALAGEM: CAIXINHA DE 165G OU 170G.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Un</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300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R$ 5,99</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R$ 1.797,00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34</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AVEIA EM FLOCOS FINOS</w:t>
            </w:r>
            <w:r>
              <w:rPr>
                <w:rFonts w:eastAsia="Arial" w:cs="Arial" w:ascii="Verdana" w:hAnsi="Verdana"/>
                <w:sz w:val="20"/>
                <w:szCs w:val="20"/>
              </w:rPr>
              <w:t xml:space="preserve"> RICA EM FIBRAS, PROTEÍNA, VITAMINA E SAIS MINERAIS.  ISENTA DE FRAGMENTOS ESTRANHOS, PARASITAS E DETRITOS; LIVRE DE UMIDADE; EMBALAGEM: CAIXINHA DE 165G OU 170G.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Un</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300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R$ 6,90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R$ 2.070,00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35</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MILHO PARA CANJICA</w:t>
            </w:r>
            <w:r>
              <w:rPr>
                <w:rFonts w:eastAsia="Arial" w:cs="Arial" w:ascii="Verdana" w:hAnsi="Verdana"/>
                <w:sz w:val="20"/>
                <w:szCs w:val="20"/>
              </w:rPr>
              <w:t xml:space="preserve"> GRUPO: CLASSE: BRANCO; TIPO 1; LEGISLACAO CONFORME RESOLUCAO RDC 263 DE 22 DE SETEMBRO DE 2005. EMBALAGEM COM 500G. VALIDADE MÍNIMA DE 04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Pct</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400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R$ 4,35</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R$ 1.740,00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36</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AMENDOIM NATURAL DESCASCADO</w:t>
            </w:r>
            <w:r>
              <w:rPr>
                <w:rFonts w:eastAsia="Arial" w:cs="Arial" w:ascii="Verdana" w:hAnsi="Verdana"/>
                <w:sz w:val="20"/>
                <w:szCs w:val="20"/>
              </w:rPr>
              <w:t>, SUBGRUPO: SELECIONADO, TIPO I. ACONDICIONADO: EMBALAGEM PLÁSTICA DE 500G, CONTENDO IDENTIFICAÇÃO DO PRODUTO DATA DE FABRICAÇÃO E PRAZO DE VALIDADE. VALIDADE MÍNIMA DE 06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Pct</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200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R$ 9,00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R$ 1.800,00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37</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UVA-PASSA DESIDRATADA</w:t>
            </w:r>
            <w:r>
              <w:rPr>
                <w:rFonts w:eastAsia="Arial" w:cs="Arial" w:ascii="Verdana" w:hAnsi="Verdana"/>
                <w:sz w:val="20"/>
                <w:szCs w:val="20"/>
              </w:rPr>
              <w:t xml:space="preserve">, BRANCA, SEM SEMENTE, LIVRE DE FUNGOS; EMBALAGEM FECHADA E ROTULADA CONFORME LEGISLAÇÃO VIGENTE. </w:t>
            </w:r>
            <w:r>
              <w:rPr>
                <w:rFonts w:eastAsia="Arial" w:cs="Arial" w:ascii="Verdana" w:hAnsi="Verdana"/>
                <w:b/>
                <w:bCs/>
                <w:sz w:val="20"/>
                <w:szCs w:val="20"/>
              </w:rPr>
              <w:t>PACOTE CONTENDO 200G</w:t>
            </w:r>
            <w:r>
              <w:rPr>
                <w:rFonts w:eastAsia="Arial" w:cs="Arial" w:ascii="Verdana" w:hAnsi="Verdana"/>
                <w:sz w:val="20"/>
                <w:szCs w:val="20"/>
              </w:rPr>
              <w:t>.  DATA DE VALIDADE MÍNIMA DE 6 MESES APÓS A ENTREGA.</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pPr>
            <w:r>
              <w:rPr>
                <w:rFonts w:ascii="Verdana" w:hAnsi="Verdana"/>
                <w:sz w:val="20"/>
                <w:szCs w:val="20"/>
              </w:rPr>
              <w:t>kg</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pPr>
            <w:r>
              <w:rPr>
                <w:rFonts w:ascii="Verdana" w:hAnsi="Verdana"/>
                <w:sz w:val="20"/>
                <w:szCs w:val="20"/>
              </w:rPr>
              <w:t>80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R$ 43,50</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R$ 3.480,00</w:t>
            </w:r>
          </w:p>
        </w:tc>
      </w:tr>
      <w:tr>
        <w:trPr>
          <w:trHeight w:val="269" w:hRule="atLeast"/>
        </w:trPr>
        <w:tc>
          <w:tcPr>
            <w:tcW w:w="742"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pPr>
            <w:r>
              <w:rPr>
                <w:rFonts w:ascii="Verdana" w:hAnsi="Verdana"/>
                <w:sz w:val="20"/>
                <w:szCs w:val="20"/>
              </w:rPr>
              <w:t>38</w:t>
            </w:r>
          </w:p>
        </w:tc>
        <w:tc>
          <w:tcPr>
            <w:tcW w:w="4319"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both"/>
              <w:rPr/>
            </w:pPr>
            <w:r>
              <w:rPr>
                <w:rFonts w:eastAsia="Arial" w:cs="Arial" w:ascii="Verdana" w:hAnsi="Verdana"/>
                <w:b/>
                <w:bCs/>
                <w:sz w:val="20"/>
                <w:szCs w:val="20"/>
              </w:rPr>
              <w:t xml:space="preserve">BEBIDA VEGETAL À BASE DE SOJA, TIPO UHT, </w:t>
            </w:r>
            <w:r>
              <w:rPr>
                <w:rFonts w:eastAsia="Arial" w:cs="Arial" w:ascii="Verdana" w:hAnsi="Verdana"/>
                <w:sz w:val="20"/>
                <w:szCs w:val="20"/>
              </w:rPr>
              <w:t>SABOR ORIGINAL, PRONTA PARA CONSUMO, ACONDICIONADA EM EMBALAGEM LONGA VIDA TIPO TETRA PAK, ÍNTEGRA, ATÓXICA E LACRADA, CONTENDO 1 LITRO; INGREDIENTES:  ÁGUA, GRÃOS DE SOJA, AÇÚCAR INVERTIDO, MINERAIS (CÁLCIO E ZINCO), AÇÚCAR, SAL, VITAMINAS (E, B6, A, ÁCIDO FÓLICO, D E B12), AROMATIZANTE, ESTABILIZANTES: CITRATO DE SÓDIO, GOMA GELANA E GOMA XANTANA, EMULSIFICANTE LECITINA DE SOJA E EDULCORANTE SUCRALOSE.  ALÉRGICOS: CONTÉM SOJA E DERIVADOS. NÃO CONTÉM GLÚTEN.</w:t>
            </w:r>
          </w:p>
        </w:tc>
        <w:tc>
          <w:tcPr>
            <w:tcW w:w="803" w:type="dxa"/>
            <w:tcBorders>
              <w:left w:val="single" w:sz="8" w:space="0" w:color="000000"/>
              <w:bottom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Un</w:t>
            </w:r>
          </w:p>
        </w:tc>
        <w:tc>
          <w:tcPr>
            <w:tcW w:w="964" w:type="dxa"/>
            <w:tcBorders>
              <w:left w:val="single" w:sz="8" w:space="0" w:color="000000"/>
              <w:bottom w:val="single" w:sz="8" w:space="0" w:color="000000"/>
              <w:right w:val="single" w:sz="8" w:space="0" w:color="000000"/>
            </w:tcBorders>
            <w:shd w:fill="FFFFFF" w:val="clear"/>
            <w:vAlign w:val="center"/>
          </w:tcPr>
          <w:p>
            <w:pPr>
              <w:pStyle w:val="normal2"/>
              <w:spacing w:lineRule="auto" w:line="240"/>
              <w:jc w:val="center"/>
              <w:rPr>
                <w:rFonts w:ascii="Verdana" w:hAnsi="Verdana"/>
                <w:sz w:val="20"/>
                <w:szCs w:val="20"/>
              </w:rPr>
            </w:pPr>
            <w:r>
              <w:rPr>
                <w:rFonts w:ascii="Verdana" w:hAnsi="Verdana"/>
                <w:sz w:val="20"/>
                <w:szCs w:val="20"/>
              </w:rPr>
            </w:r>
          </w:p>
          <w:p>
            <w:pPr>
              <w:pStyle w:val="normal2"/>
              <w:spacing w:lineRule="auto" w:line="240"/>
              <w:jc w:val="center"/>
              <w:rPr/>
            </w:pPr>
            <w:r>
              <w:rPr>
                <w:rFonts w:ascii="Verdana" w:hAnsi="Verdana"/>
                <w:sz w:val="20"/>
                <w:szCs w:val="20"/>
              </w:rPr>
              <w:t>180</w:t>
            </w:r>
          </w:p>
        </w:tc>
        <w:tc>
          <w:tcPr>
            <w:tcW w:w="1516"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R$ 13,99</w:t>
            </w:r>
          </w:p>
        </w:tc>
        <w:tc>
          <w:tcPr>
            <w:tcW w:w="1664" w:type="dxa"/>
            <w:tcBorders>
              <w:left w:val="single" w:sz="8" w:space="0" w:color="000000"/>
              <w:bottom w:val="single" w:sz="8" w:space="0" w:color="000000"/>
              <w:right w:val="single" w:sz="8" w:space="0" w:color="000000"/>
            </w:tcBorders>
            <w:shd w:fill="FFFFFF" w:val="clear"/>
            <w:vAlign w:val="center"/>
          </w:tcPr>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pPr>
            <w:r>
              <w:rPr>
                <w:rFonts w:ascii="Verdana" w:hAnsi="Verdana"/>
                <w:sz w:val="20"/>
                <w:szCs w:val="20"/>
              </w:rPr>
              <w:t>R$ 2.518,20</w:t>
            </w:r>
          </w:p>
        </w:tc>
      </w:tr>
      <w:tr>
        <w:trPr>
          <w:trHeight w:val="269" w:hRule="atLeast"/>
        </w:trPr>
        <w:tc>
          <w:tcPr>
            <w:tcW w:w="10008" w:type="dxa"/>
            <w:gridSpan w:val="6"/>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240"/>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rPr/>
            </w:pPr>
            <w:r>
              <w:rPr>
                <w:rFonts w:cs="Arial" w:ascii="Verdana" w:hAnsi="Verdana"/>
                <w:b/>
                <w:bCs/>
                <w:color w:val="000000"/>
                <w:sz w:val="20"/>
                <w:szCs w:val="20"/>
              </w:rPr>
              <w:t>VALOR ESTIMADO TOTAL: R$ 891.312,90 (oitocentos e noventa e um mil trezentos e doze reais e noventa centavos)</w:t>
            </w:r>
          </w:p>
          <w:p>
            <w:pPr>
              <w:pStyle w:val="Normal"/>
              <w:spacing w:lineRule="auto" w:line="240"/>
              <w:rPr>
                <w:rFonts w:ascii="Verdana" w:hAnsi="Verdana" w:cs="Arial"/>
                <w:b/>
                <w:bCs/>
                <w:color w:val="000000"/>
                <w:sz w:val="20"/>
                <w:szCs w:val="20"/>
              </w:rPr>
            </w:pPr>
            <w:r>
              <w:rPr>
                <w:rFonts w:cs="Arial" w:ascii="Verdana" w:hAnsi="Verdana"/>
                <w:b/>
                <w:bCs/>
                <w:color w:val="000000"/>
                <w:sz w:val="20"/>
                <w:szCs w:val="20"/>
              </w:rPr>
            </w:r>
          </w:p>
        </w:tc>
      </w:tr>
    </w:tbl>
    <w:p>
      <w:pPr>
        <w:pStyle w:val="Normal"/>
        <w:tabs>
          <w:tab w:val="clear" w:pos="708"/>
          <w:tab w:val="left" w:pos="50" w:leader="none"/>
          <w:tab w:val="left" w:pos="150" w:leader="none"/>
        </w:tabs>
        <w:spacing w:lineRule="auto" w:line="240"/>
        <w:ind w:hanging="0" w:left="57" w:right="0"/>
        <w:jc w:val="both"/>
        <w:rPr>
          <w:rFonts w:ascii="Verdana" w:hAnsi="Verdana" w:cs="Arial"/>
          <w:b/>
          <w:sz w:val="20"/>
          <w:szCs w:val="20"/>
          <w:u w:val="single"/>
        </w:rPr>
      </w:pPr>
      <w:r>
        <w:rPr>
          <w:rFonts w:cs="Arial" w:ascii="Verdana" w:hAnsi="Verdana"/>
          <w:b/>
          <w:sz w:val="20"/>
          <w:szCs w:val="20"/>
          <w:u w:val="single"/>
        </w:rPr>
      </w:r>
    </w:p>
    <w:p>
      <w:pPr>
        <w:pStyle w:val="Normal"/>
        <w:suppressAutoHyphens w:val="false"/>
        <w:spacing w:lineRule="auto" w:line="240"/>
        <w:ind w:hanging="0" w:left="-22" w:right="0"/>
        <w:jc w:val="both"/>
        <w:rPr/>
      </w:pPr>
      <w:r>
        <w:rPr>
          <w:rFonts w:ascii="Verdana" w:hAnsi="Verdana"/>
          <w:b w:val="false"/>
          <w:bCs w:val="false"/>
          <w:iCs/>
          <w:sz w:val="20"/>
          <w:szCs w:val="20"/>
        </w:rPr>
        <w:t>1.2.</w:t>
      </w:r>
      <w:r>
        <w:rPr>
          <w:rFonts w:ascii="Verdana" w:hAnsi="Verdana"/>
          <w:iCs/>
          <w:sz w:val="20"/>
          <w:szCs w:val="20"/>
        </w:rPr>
        <w:t xml:space="preserve"> Os produtos propostos deverão, obrigatoriamente, atender as exigências de qualidade, observados os padrões e normas baixadas pelos órgãos competentes de controle e fiscalização de qualidade industrial em especial ANVISA ou equiparadas.</w:t>
      </w:r>
    </w:p>
    <w:p>
      <w:pPr>
        <w:pStyle w:val="Normal"/>
        <w:suppressAutoHyphens w:val="false"/>
        <w:spacing w:lineRule="auto" w:line="240"/>
        <w:ind w:hanging="0" w:left="-22" w:right="0"/>
        <w:jc w:val="both"/>
        <w:rPr/>
      </w:pPr>
      <w:r>
        <w:rPr>
          <w:rFonts w:ascii="Verdana" w:hAnsi="Verdana"/>
          <w:iCs/>
          <w:sz w:val="20"/>
          <w:szCs w:val="20"/>
        </w:rPr>
        <w:t>1.3.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uppressAutoHyphens w:val="false"/>
        <w:spacing w:lineRule="auto" w:line="240"/>
        <w:ind w:hanging="0" w:left="-22" w:right="0"/>
        <w:jc w:val="both"/>
        <w:rPr/>
      </w:pPr>
      <w:r>
        <w:rPr>
          <w:rFonts w:ascii="Verdana" w:hAnsi="Verdana"/>
          <w:iCs/>
          <w:sz w:val="20"/>
          <w:szCs w:val="20"/>
        </w:rPr>
        <w:t xml:space="preserve">1.4. </w:t>
      </w:r>
      <w:bookmarkStart w:id="0" w:name="art23§711"/>
      <w:r>
        <w:rPr>
          <w:rFonts w:eastAsia="Times New Roman" w:cs="Arial" w:ascii="Verdana" w:hAnsi="Verdana"/>
          <w:iCs/>
          <w:color w:val="000000"/>
          <w:sz w:val="20"/>
          <w:szCs w:val="20"/>
        </w:rPr>
        <w:t>Os insumos necessários às embalagens e para as entregas serão fornecidos pela Contratada.</w:t>
      </w:r>
    </w:p>
    <w:p>
      <w:pPr>
        <w:pStyle w:val="ListParagraph"/>
        <w:suppressAutoHyphens w:val="false"/>
        <w:spacing w:lineRule="auto" w:line="240"/>
        <w:ind w:hanging="0" w:left="-22" w:right="0"/>
        <w:jc w:val="both"/>
        <w:rPr/>
      </w:pPr>
      <w:r>
        <w:rPr>
          <w:rFonts w:ascii="Verdana" w:hAnsi="Verdana"/>
          <w:b w:val="false"/>
          <w:bCs w:val="false"/>
          <w:iCs/>
          <w:sz w:val="20"/>
          <w:szCs w:val="20"/>
        </w:rPr>
        <w:t xml:space="preserve">1.5. </w:t>
      </w:r>
      <w:r>
        <w:rPr>
          <w:rFonts w:cs="Arial" w:ascii="Verdana" w:hAnsi="Verdana"/>
          <w:bCs/>
          <w:iCs/>
          <w:color w:val="000000"/>
          <w:sz w:val="20"/>
          <w:szCs w:val="20"/>
        </w:rPr>
        <w:t xml:space="preserve">O prazo de vigência da contratação será  </w:t>
      </w:r>
      <w:r>
        <w:rPr>
          <w:rFonts w:eastAsia="Times New Roman" w:cs="Arial" w:ascii="Verdana" w:hAnsi="Verdana"/>
          <w:bCs/>
          <w:iCs/>
          <w:color w:val="000000"/>
          <w:sz w:val="20"/>
          <w:szCs w:val="20"/>
        </w:rPr>
        <w:t>contado da data da assinatura e término  em 30 dias após a última entrega fixada em cronograma anexo.</w:t>
      </w:r>
    </w:p>
    <w:p>
      <w:pPr>
        <w:pStyle w:val="ListParagraph"/>
        <w:tabs>
          <w:tab w:val="clear" w:pos="708"/>
          <w:tab w:val="left" w:pos="0" w:leader="none"/>
        </w:tabs>
        <w:suppressAutoHyphens w:val="false"/>
        <w:spacing w:lineRule="auto" w:line="240"/>
        <w:ind w:hanging="0" w:left="0" w:right="0"/>
        <w:jc w:val="both"/>
        <w:rPr/>
      </w:pPr>
      <w:r>
        <w:rPr>
          <w:rFonts w:eastAsia="Times New Roman" w:cs="Times New Roman" w:ascii="Verdana" w:hAnsi="Verdana"/>
          <w:b w:val="false"/>
          <w:bCs w:val="false"/>
          <w:iCs/>
          <w:color w:val="000000"/>
          <w:sz w:val="20"/>
          <w:szCs w:val="20"/>
        </w:rPr>
        <w:t>1.6.</w:t>
      </w:r>
      <w:r>
        <w:rPr>
          <w:rFonts w:eastAsia="Times New Roman" w:cs="Times New Roman" w:ascii="Verdana" w:hAnsi="Verdana"/>
          <w:iCs/>
          <w:color w:val="000000"/>
          <w:sz w:val="20"/>
          <w:szCs w:val="20"/>
        </w:rPr>
        <w:t xml:space="preserve"> O custo estimado total da contratação é de</w:t>
      </w:r>
      <w:r>
        <w:rPr>
          <w:rFonts w:eastAsia="Times New Roman" w:cs="Times New Roman" w:ascii="Verdana" w:hAnsi="Verdana"/>
          <w:i w:val="false"/>
          <w:iCs w:val="false"/>
          <w:color w:val="FF0000"/>
          <w:sz w:val="20"/>
          <w:szCs w:val="20"/>
        </w:rPr>
        <w:t xml:space="preserve"> </w:t>
      </w:r>
      <w:r>
        <w:rPr>
          <w:rFonts w:eastAsia="Times New Roman" w:cs="Arial" w:ascii="Verdana" w:hAnsi="Verdana"/>
          <w:b w:val="false"/>
          <w:bCs w:val="false"/>
          <w:i w:val="false"/>
          <w:iCs w:val="false"/>
          <w:color w:val="000000"/>
          <w:sz w:val="20"/>
          <w:szCs w:val="20"/>
        </w:rPr>
        <w:t xml:space="preserve"> R$</w:t>
      </w:r>
      <w:r>
        <w:rPr>
          <w:rFonts w:eastAsia="Times New Roman" w:cs="Arial" w:ascii="Verdana" w:hAnsi="Verdana"/>
          <w:b/>
          <w:bCs/>
          <w:i w:val="false"/>
          <w:iCs w:val="false"/>
          <w:color w:val="000000"/>
          <w:sz w:val="20"/>
          <w:szCs w:val="20"/>
        </w:rPr>
        <w:t xml:space="preserve"> 891.312,90 (oitocentos e noventa e um mil trezentos e doze reais e noventa centavos)</w:t>
      </w:r>
      <w:r>
        <w:rPr>
          <w:rFonts w:eastAsia="Times New Roman" w:cs="Arial" w:ascii="Verdana" w:hAnsi="Verdana"/>
          <w:b w:val="false"/>
          <w:bCs w:val="false"/>
          <w:i w:val="false"/>
          <w:iCs w:val="false"/>
          <w:color w:val="000000"/>
          <w:sz w:val="20"/>
          <w:szCs w:val="20"/>
        </w:rPr>
        <w:t xml:space="preserve"> </w:t>
      </w:r>
      <w:r>
        <w:rPr>
          <w:rFonts w:eastAsia="Times New Roman" w:cs="Times New Roman" w:ascii="Verdana" w:hAnsi="Verdana"/>
          <w:b w:val="false"/>
          <w:bCs w:val="false"/>
          <w:i w:val="false"/>
          <w:iCs w:val="false"/>
          <w:color w:val="000000"/>
          <w:sz w:val="20"/>
          <w:szCs w:val="20"/>
        </w:rPr>
        <w:t xml:space="preserve">conforme </w:t>
      </w:r>
      <w:r>
        <w:rPr>
          <w:rFonts w:eastAsia="Times New Roman" w:cs="Times New Roman" w:ascii="Verdana" w:hAnsi="Verdana"/>
          <w:b w:val="false"/>
          <w:bCs w:val="false"/>
          <w:i w:val="false"/>
          <w:iCs w:val="false"/>
          <w:color w:val="000000"/>
          <w:sz w:val="20"/>
          <w:szCs w:val="20"/>
          <w:u w:val="none"/>
        </w:rPr>
        <w:t>custo</w:t>
      </w:r>
      <w:r>
        <w:rPr>
          <w:rFonts w:eastAsia="Times New Roman" w:cs="Times New Roman" w:ascii="Verdana" w:hAnsi="Verdana"/>
          <w:i w:val="false"/>
          <w:iCs w:val="false"/>
          <w:color w:val="000000"/>
          <w:sz w:val="20"/>
          <w:szCs w:val="20"/>
          <w:u w:val="none"/>
        </w:rPr>
        <w:t>s un</w:t>
      </w:r>
      <w:r>
        <w:rPr>
          <w:rFonts w:eastAsia="Times New Roman" w:cs="Times New Roman" w:ascii="Verdana" w:hAnsi="Verdana"/>
          <w:i w:val="false"/>
          <w:iCs w:val="false"/>
          <w:color w:val="000000"/>
          <w:sz w:val="20"/>
          <w:szCs w:val="20"/>
          <w:u w:val="single"/>
        </w:rPr>
        <w:t>i</w:t>
      </w:r>
      <w:r>
        <w:rPr>
          <w:rFonts w:eastAsia="Times New Roman" w:cs="Times New Roman" w:ascii="Verdana" w:hAnsi="Verdana"/>
          <w:i w:val="false"/>
          <w:iCs w:val="false"/>
          <w:color w:val="000000"/>
          <w:sz w:val="20"/>
          <w:szCs w:val="20"/>
          <w:u w:val="none"/>
        </w:rPr>
        <w:t xml:space="preserve">tários </w:t>
      </w:r>
      <w:r>
        <w:rPr>
          <w:rFonts w:eastAsia="Times New Roman" w:cs="Times New Roman" w:ascii="Verdana" w:hAnsi="Verdana"/>
          <w:i w:val="false"/>
          <w:iCs w:val="false"/>
          <w:color w:val="000000"/>
          <w:sz w:val="20"/>
          <w:szCs w:val="20"/>
        </w:rPr>
        <w:t>apostos nos orçamentos e no quadro comparativo de preços si</w:t>
      </w:r>
      <w:r>
        <w:rPr>
          <w:rFonts w:eastAsia="Times New Roman" w:cs="Times New Roman" w:ascii="Verdana" w:hAnsi="Verdana"/>
          <w:iCs/>
          <w:color w:val="000000"/>
          <w:sz w:val="20"/>
          <w:szCs w:val="20"/>
        </w:rPr>
        <w:t>mples em anexo.</w:t>
      </w:r>
    </w:p>
    <w:p>
      <w:pPr>
        <w:pStyle w:val="normal3"/>
        <w:spacing w:lineRule="auto" w:line="240" w:before="0" w:after="0"/>
        <w:jc w:val="both"/>
        <w:rPr>
          <w:rFonts w:ascii="Verdana" w:hAnsi="Verdana"/>
          <w:b w:val="false"/>
          <w:bCs w:val="false"/>
          <w:sz w:val="20"/>
          <w:szCs w:val="20"/>
        </w:rPr>
      </w:pPr>
      <w:r>
        <w:rPr>
          <w:rFonts w:ascii="Verdana" w:hAnsi="Verdana"/>
          <w:b w:val="false"/>
          <w:bCs w:val="false"/>
          <w:sz w:val="20"/>
          <w:szCs w:val="20"/>
        </w:rPr>
      </w:r>
    </w:p>
    <w:p>
      <w:pPr>
        <w:pStyle w:val="Nivel1"/>
        <w:spacing w:lineRule="auto" w:line="240" w:before="0" w:after="0"/>
        <w:ind w:hanging="0" w:left="0" w:right="0"/>
        <w:rPr/>
      </w:pPr>
      <w:r>
        <w:rPr>
          <w:rFonts w:cs="Times New Roman" w:ascii="Verdana" w:hAnsi="Verdana"/>
          <w:bCs/>
          <w:sz w:val="20"/>
          <w:szCs w:val="20"/>
        </w:rPr>
        <w:t>2. FUNDAMENTAÇÃO E DESCRIÇÃO DA NECESSIDADE DA AQUISIÇÃO</w:t>
      </w:r>
    </w:p>
    <w:p>
      <w:pPr>
        <w:pStyle w:val="Normal"/>
        <w:spacing w:lineRule="auto" w:line="240"/>
        <w:ind w:left="110"/>
        <w:jc w:val="both"/>
        <w:rPr/>
      </w:pPr>
      <w:r>
        <w:rPr>
          <w:rFonts w:ascii="Verdana" w:hAnsi="Verdana"/>
          <w:b w:val="false"/>
          <w:bCs w:val="false"/>
          <w:sz w:val="20"/>
          <w:szCs w:val="20"/>
        </w:rPr>
        <w:t xml:space="preserve">2.1. </w:t>
      </w:r>
      <w:r>
        <w:rPr>
          <w:rFonts w:cs="Arial" w:ascii="Verdana" w:hAnsi="Verdana"/>
          <w:b w:val="false"/>
          <w:bCs w:val="false"/>
          <w:sz w:val="20"/>
          <w:szCs w:val="20"/>
        </w:rPr>
        <w:t xml:space="preserve">2.1. </w:t>
      </w:r>
      <w:bookmarkStart w:id="1" w:name="_Hlk170988156"/>
      <w:r>
        <w:rPr>
          <w:rFonts w:ascii="Verdana" w:hAnsi="Verdana"/>
          <w:b w:val="false"/>
          <w:bCs w:val="false"/>
          <w:sz w:val="20"/>
          <w:szCs w:val="20"/>
        </w:rPr>
        <w:t>A Fundamentação da Contratação e de seus quantitativos encontra-se pormenorizada em tópico específico dos Estudos Técnicos Preliminares, apêndice deste Termo de Referência.</w:t>
      </w:r>
      <w:bookmarkEnd w:id="1"/>
    </w:p>
    <w:p>
      <w:pPr>
        <w:pStyle w:val="Normal"/>
        <w:spacing w:lineRule="auto" w:line="240"/>
        <w:ind w:left="110"/>
        <w:jc w:val="both"/>
        <w:rPr>
          <w:rFonts w:ascii="Verdana" w:hAnsi="Verdana"/>
          <w:b w:val="false"/>
          <w:bCs w:val="false"/>
          <w:sz w:val="20"/>
          <w:szCs w:val="20"/>
        </w:rPr>
      </w:pPr>
      <w:r>
        <w:rPr>
          <w:rFonts w:ascii="Verdana" w:hAnsi="Verdana"/>
          <w:b w:val="false"/>
          <w:bCs w:val="false"/>
          <w:sz w:val="20"/>
          <w:szCs w:val="20"/>
        </w:rPr>
      </w:r>
    </w:p>
    <w:p>
      <w:pPr>
        <w:pStyle w:val="Nivel1"/>
        <w:spacing w:lineRule="auto" w:line="240" w:before="0" w:after="0"/>
        <w:ind w:hanging="0" w:left="0" w:right="0"/>
        <w:rPr/>
      </w:pPr>
      <w:r>
        <w:rPr>
          <w:rFonts w:ascii="Verdana" w:hAnsi="Verdana"/>
          <w:bCs/>
          <w:sz w:val="20"/>
          <w:szCs w:val="20"/>
        </w:rPr>
        <w:t>3</w:t>
      </w:r>
      <w:r>
        <w:rPr>
          <w:rFonts w:ascii="Verdana" w:hAnsi="Verdana"/>
          <w:sz w:val="20"/>
          <w:szCs w:val="20"/>
        </w:rPr>
        <w:t>. DESCRIÇÃO DA SOLUÇÃO</w:t>
      </w:r>
    </w:p>
    <w:p>
      <w:pPr>
        <w:pStyle w:val="Normal"/>
        <w:spacing w:lineRule="auto" w:line="240"/>
        <w:ind w:right="143"/>
        <w:jc w:val="both"/>
        <w:rPr/>
      </w:pPr>
      <w:r>
        <w:rPr>
          <w:rFonts w:cs="Arial" w:ascii="Verdana" w:hAnsi="Verdana"/>
          <w:b w:val="false"/>
          <w:bCs w:val="false"/>
          <w:i w:val="false"/>
          <w:iCs w:val="false"/>
          <w:color w:val="000000"/>
          <w:sz w:val="20"/>
          <w:szCs w:val="20"/>
          <w:u w:val="none"/>
        </w:rPr>
        <w:t xml:space="preserve">3.1. </w:t>
      </w:r>
      <w:bookmarkStart w:id="2" w:name="_Ref121236534"/>
      <w:r>
        <w:rPr>
          <w:rFonts w:cs="Arial" w:ascii="Verdana" w:hAnsi="Verdana"/>
          <w:b w:val="false"/>
          <w:bCs w:val="false"/>
          <w:i w:val="false"/>
          <w:iCs w:val="false"/>
          <w:color w:val="000000"/>
          <w:sz w:val="20"/>
          <w:szCs w:val="20"/>
          <w:u w:val="none"/>
        </w:rPr>
        <w:t>A descrição da solução como um todo encontra-se pormenorizada em tópico específico dos Estudos Técnicos Preliminares, apêndice deste Termo de Referência.</w:t>
      </w:r>
      <w:bookmarkEnd w:id="2"/>
    </w:p>
    <w:p>
      <w:pPr>
        <w:pStyle w:val="Normal"/>
        <w:spacing w:lineRule="auto" w:line="240"/>
        <w:ind w:right="143"/>
        <w:jc w:val="both"/>
        <w:rPr>
          <w:rFonts w:ascii="Verdana" w:hAnsi="Verdana" w:cs="Arial"/>
          <w:b w:val="false"/>
          <w:bCs w:val="false"/>
          <w:i w:val="false"/>
          <w:i w:val="false"/>
          <w:iCs w:val="false"/>
          <w:color w:val="000000"/>
          <w:sz w:val="20"/>
          <w:szCs w:val="20"/>
          <w:u w:val="none"/>
        </w:rPr>
      </w:pPr>
      <w:r>
        <w:rPr>
          <w:rFonts w:cs="Arial" w:ascii="Verdana" w:hAnsi="Verdana"/>
          <w:b w:val="false"/>
          <w:bCs w:val="false"/>
          <w:i w:val="false"/>
          <w:iCs w:val="false"/>
          <w:color w:val="000000"/>
          <w:sz w:val="20"/>
          <w:szCs w:val="20"/>
          <w:u w:val="none"/>
        </w:rPr>
      </w:r>
    </w:p>
    <w:p>
      <w:pPr>
        <w:pStyle w:val="Nivel1"/>
        <w:spacing w:lineRule="auto" w:line="240" w:before="0" w:after="0"/>
        <w:ind w:hanging="0" w:left="0" w:right="0"/>
        <w:rPr/>
      </w:pPr>
      <w:r>
        <w:rPr>
          <w:rFonts w:cs="Times New Roman" w:ascii="Verdana" w:hAnsi="Verdana"/>
          <w:bCs/>
          <w:sz w:val="20"/>
          <w:szCs w:val="20"/>
        </w:rPr>
        <w:t>4. REQUISITOS DA CONTRATAÇÃO</w:t>
      </w:r>
    </w:p>
    <w:p>
      <w:pPr>
        <w:pStyle w:val="Normal"/>
        <w:spacing w:lineRule="auto" w:line="240"/>
        <w:jc w:val="both"/>
        <w:rPr/>
      </w:pPr>
      <w:r>
        <w:rPr>
          <w:rFonts w:ascii="Verdana" w:hAnsi="Verdana"/>
          <w:b w:val="false"/>
          <w:bCs w:val="false"/>
          <w:sz w:val="20"/>
          <w:szCs w:val="20"/>
        </w:rPr>
        <w:t>4.1 Fornecimento de gêneros alimentícios em atendimento ao PNAE - Programa Nacional de Alimentação Escolar, para as Unidades escolares vinculadas à Secretaria de Educação. A CONTRATADA deve:</w:t>
      </w:r>
    </w:p>
    <w:p>
      <w:pPr>
        <w:pStyle w:val="Normal"/>
        <w:tabs>
          <w:tab w:val="clear" w:pos="708"/>
          <w:tab w:val="left" w:pos="3390" w:leader="none"/>
          <w:tab w:val="center" w:pos="5032" w:leader="none"/>
        </w:tabs>
        <w:spacing w:lineRule="auto" w:line="240"/>
        <w:jc w:val="both"/>
        <w:rPr/>
      </w:pPr>
      <w:r>
        <w:rPr>
          <w:rFonts w:ascii="Verdana" w:hAnsi="Verdana"/>
          <w:b w:val="false"/>
          <w:bCs w:val="false"/>
          <w:sz w:val="20"/>
          <w:szCs w:val="20"/>
        </w:rPr>
        <w:t>a)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pacing w:lineRule="auto" w:line="240"/>
        <w:jc w:val="both"/>
        <w:rPr/>
      </w:pPr>
      <w:r>
        <w:rPr>
          <w:rFonts w:ascii="Verdana" w:hAnsi="Verdana"/>
          <w:b w:val="false"/>
          <w:bCs w:val="false"/>
          <w:sz w:val="20"/>
          <w:szCs w:val="20"/>
        </w:rPr>
        <w:t>b) Os insumos necessários às embalagens e para as entregas serão fornecidos pela contratada.</w:t>
      </w:r>
    </w:p>
    <w:p>
      <w:pPr>
        <w:pStyle w:val="Normal"/>
        <w:spacing w:lineRule="auto" w:line="240"/>
        <w:jc w:val="both"/>
        <w:rPr/>
      </w:pPr>
      <w:r>
        <w:rPr>
          <w:rFonts w:ascii="Verdana" w:hAnsi="Verdana"/>
          <w:b w:val="false"/>
          <w:bCs w:val="false"/>
          <w:sz w:val="20"/>
          <w:szCs w:val="20"/>
          <w:highlight w:val="white"/>
        </w:rPr>
        <w:t>c) A contr</w:t>
      </w:r>
      <w:r>
        <w:rPr>
          <w:rFonts w:ascii="Verdana" w:hAnsi="Verdana"/>
          <w:sz w:val="20"/>
          <w:szCs w:val="20"/>
          <w:highlight w:val="white"/>
        </w:rPr>
        <w:t xml:space="preserve">atada deverá cumprir com as entregas de acordo com o cronograma com as datas e quantidades anexado ao contrato. </w:t>
      </w:r>
    </w:p>
    <w:p>
      <w:pPr>
        <w:pStyle w:val="Normal"/>
        <w:spacing w:lineRule="auto" w:line="240"/>
        <w:jc w:val="both"/>
        <w:rPr/>
      </w:pPr>
      <w:r>
        <w:rPr>
          <w:rFonts w:ascii="Verdana" w:hAnsi="Verdana"/>
          <w:b/>
          <w:sz w:val="20"/>
          <w:szCs w:val="20"/>
        </w:rPr>
        <w:t>4.2 Da qualificação técnica.</w:t>
      </w:r>
    </w:p>
    <w:p>
      <w:pPr>
        <w:pStyle w:val="Normal"/>
        <w:spacing w:lineRule="auto" w:line="240"/>
        <w:jc w:val="both"/>
        <w:rPr/>
      </w:pPr>
      <w:r>
        <w:rPr>
          <w:rFonts w:ascii="Verdana" w:hAnsi="Verdana"/>
          <w:b w:val="false"/>
          <w:bCs w:val="false"/>
          <w:sz w:val="20"/>
          <w:szCs w:val="20"/>
        </w:rPr>
        <w:t xml:space="preserve">4.2.1. Comprovação de aptidão para desempenho de atividade pertinente e compatível com o objeto desta licitação, mediante apresentação de </w:t>
      </w:r>
      <w:r>
        <w:rPr>
          <w:rFonts w:ascii="Verdana" w:hAnsi="Verdana"/>
          <w:b w:val="false"/>
          <w:bCs w:val="false"/>
          <w:sz w:val="20"/>
          <w:szCs w:val="20"/>
          <w:highlight w:val="white"/>
        </w:rPr>
        <w:t>documentos que atestem capacidade técnica, tais como Documentos de Habilitação Fiscal, Social e Trabalhista, regularidade com relação a impostos, contribuições sociais e obrigações trabalhistas.</w:t>
      </w:r>
    </w:p>
    <w:p>
      <w:pPr>
        <w:pStyle w:val="Normal"/>
        <w:spacing w:lineRule="auto" w:line="240"/>
        <w:jc w:val="both"/>
        <w:rPr/>
      </w:pPr>
      <w:r>
        <w:rPr>
          <w:rFonts w:ascii="Verdana" w:hAnsi="Verdana"/>
          <w:b/>
          <w:bCs/>
          <w:sz w:val="20"/>
          <w:szCs w:val="20"/>
        </w:rPr>
        <w:t>4.2.2. Acerca do Atestados de Capacidade Técnica</w:t>
      </w:r>
      <w:r>
        <w:rPr>
          <w:rFonts w:ascii="Verdana" w:hAnsi="Verdana"/>
          <w:sz w:val="20"/>
          <w:szCs w:val="20"/>
        </w:rPr>
        <w:t xml:space="preserve">: Solicita-se comprovação de que a empresa já forneceu alimentação coletiva ou escolar similares em quantidade e complexidade compatíveis, devido a necessidade de que os alimentos sejam entregues corretamente conforme as especificações, facilitando assim a distribuição conforme cronogramas de entregas. Um exemplo é a especificação das carnes, principalmente do item </w:t>
      </w:r>
      <w:r>
        <w:rPr>
          <w:rFonts w:ascii="Verdana" w:hAnsi="Verdana"/>
          <w:sz w:val="20"/>
          <w:szCs w:val="20"/>
          <w:u w:val="single"/>
        </w:rPr>
        <w:t>carne bovina moída – acém bovino moído</w:t>
      </w:r>
      <w:r>
        <w:rPr>
          <w:rFonts w:ascii="Verdana" w:hAnsi="Verdana"/>
          <w:sz w:val="20"/>
          <w:szCs w:val="20"/>
        </w:rPr>
        <w:t>, que deve ser entregue em pacotes de 1Kg, para que não seja necessário o manuseio de descongelamento de peças maiores. Para maior segurança alimentar as entregas fracionadas (como pacotes de 1kg) evita o descongelamento e porcionamento inadequado na escola em conformidade com o cardápio nutricional escolar, reduzindo o risco de contaminação cruzada e ainda embalagens prontas otimizam o tempo das merendeiras e evitam o desperdício de alimentos.</w:t>
      </w:r>
    </w:p>
    <w:p>
      <w:pPr>
        <w:pStyle w:val="Normal"/>
        <w:spacing w:lineRule="auto" w:line="240"/>
        <w:jc w:val="both"/>
        <w:rPr/>
      </w:pPr>
      <w:r>
        <w:rPr>
          <w:rFonts w:ascii="Verdana" w:hAnsi="Verdana"/>
          <w:b/>
          <w:sz w:val="20"/>
          <w:szCs w:val="20"/>
        </w:rPr>
        <w:t xml:space="preserve">4.2.3. </w:t>
      </w:r>
      <w:r>
        <w:rPr>
          <w:rFonts w:ascii="Verdana" w:hAnsi="Verdana"/>
          <w:sz w:val="20"/>
          <w:szCs w:val="20"/>
        </w:rPr>
        <w:t>Para alimentos perecíveis ou congelados, exige-se certificação de que a frota possui climatização/refrigeração adequada para manter a cadeia de frio.</w:t>
      </w:r>
    </w:p>
    <w:p>
      <w:pPr>
        <w:pStyle w:val="Normal"/>
        <w:spacing w:lineRule="auto" w:line="240"/>
        <w:jc w:val="both"/>
        <w:rPr/>
      </w:pPr>
      <w:r>
        <w:rPr>
          <w:rFonts w:ascii="Verdana" w:hAnsi="Verdana"/>
          <w:b/>
          <w:bCs/>
          <w:sz w:val="20"/>
          <w:szCs w:val="20"/>
          <w:highlight w:val="white"/>
        </w:rPr>
        <w:t xml:space="preserve">4.2.4. </w:t>
      </w:r>
      <w:r>
        <w:rPr>
          <w:rFonts w:ascii="Verdana" w:hAnsi="Verdana"/>
          <w:b w:val="false"/>
          <w:bCs w:val="false"/>
          <w:sz w:val="20"/>
          <w:szCs w:val="20"/>
          <w:highlight w:val="white"/>
        </w:rPr>
        <w:t>Deverá ser observada na descrição dos itens e</w:t>
      </w:r>
      <w:r>
        <w:rPr>
          <w:rFonts w:ascii="Verdana" w:hAnsi="Verdana"/>
          <w:b/>
          <w:bCs/>
          <w:sz w:val="20"/>
          <w:szCs w:val="20"/>
          <w:highlight w:val="white"/>
        </w:rPr>
        <w:t xml:space="preserve"> </w:t>
      </w:r>
      <w:r>
        <w:rPr>
          <w:rFonts w:ascii="Verdana" w:hAnsi="Verdana"/>
          <w:b w:val="false"/>
          <w:bCs w:val="false"/>
          <w:sz w:val="20"/>
          <w:szCs w:val="20"/>
          <w:highlight w:val="white"/>
        </w:rPr>
        <w:t xml:space="preserve">obrigatório o fornecimento dos produtos de origem animal (selos SIF, SIE ou SIM) ou vegetal regulamentados. </w:t>
      </w:r>
      <w:r>
        <w:rPr>
          <w:rFonts w:ascii="Verdana" w:hAnsi="Verdana"/>
          <w:b/>
          <w:bCs/>
          <w:sz w:val="20"/>
          <w:szCs w:val="20"/>
          <w:highlight w:val="white"/>
        </w:rPr>
        <w:t>Selo de Inspeção:</w:t>
      </w:r>
      <w:r>
        <w:rPr>
          <w:rFonts w:ascii="Verdana" w:hAnsi="Verdana"/>
          <w:b w:val="false"/>
          <w:bCs w:val="false"/>
          <w:sz w:val="20"/>
          <w:szCs w:val="20"/>
          <w:highlight w:val="white"/>
        </w:rPr>
        <w:t xml:space="preserve"> Certificado de Registro no Serviço de Inspeção Federal (</w:t>
      </w:r>
      <w:r>
        <w:rPr>
          <w:rFonts w:ascii="Verdana" w:hAnsi="Verdana"/>
          <w:b/>
          <w:bCs/>
          <w:sz w:val="20"/>
          <w:szCs w:val="20"/>
          <w:highlight w:val="white"/>
        </w:rPr>
        <w:t>SIF</w:t>
      </w:r>
      <w:r>
        <w:rPr>
          <w:rFonts w:ascii="Verdana" w:hAnsi="Verdana"/>
          <w:b w:val="false"/>
          <w:bCs w:val="false"/>
          <w:sz w:val="20"/>
          <w:szCs w:val="20"/>
          <w:highlight w:val="white"/>
        </w:rPr>
        <w:t>), Estadual (</w:t>
      </w:r>
      <w:r>
        <w:rPr>
          <w:rFonts w:ascii="Verdana" w:hAnsi="Verdana"/>
          <w:b/>
          <w:bCs/>
          <w:sz w:val="20"/>
          <w:szCs w:val="20"/>
          <w:highlight w:val="white"/>
        </w:rPr>
        <w:t>SIE</w:t>
      </w:r>
      <w:r>
        <w:rPr>
          <w:rFonts w:ascii="Verdana" w:hAnsi="Verdana"/>
          <w:b w:val="false"/>
          <w:bCs w:val="false"/>
          <w:sz w:val="20"/>
          <w:szCs w:val="20"/>
          <w:highlight w:val="white"/>
        </w:rPr>
        <w:t>) ou Municipal (</w:t>
      </w:r>
      <w:r>
        <w:rPr>
          <w:rFonts w:ascii="Verdana" w:hAnsi="Verdana"/>
          <w:b/>
          <w:bCs/>
          <w:sz w:val="20"/>
          <w:szCs w:val="20"/>
          <w:highlight w:val="white"/>
        </w:rPr>
        <w:t>SIM</w:t>
      </w:r>
      <w:r>
        <w:rPr>
          <w:rFonts w:ascii="Verdana" w:hAnsi="Verdana"/>
          <w:b w:val="false"/>
          <w:bCs w:val="false"/>
          <w:sz w:val="20"/>
          <w:szCs w:val="20"/>
          <w:highlight w:val="white"/>
        </w:rPr>
        <w:t xml:space="preserve">), ou o selo </w:t>
      </w:r>
      <w:r>
        <w:rPr>
          <w:rFonts w:ascii="Verdana" w:hAnsi="Verdana"/>
          <w:b/>
          <w:bCs/>
          <w:sz w:val="20"/>
          <w:szCs w:val="20"/>
          <w:highlight w:val="white"/>
        </w:rPr>
        <w:t>SISBI</w:t>
      </w:r>
      <w:r>
        <w:rPr>
          <w:rFonts w:ascii="Verdana" w:hAnsi="Verdana"/>
          <w:b w:val="false"/>
          <w:bCs w:val="false"/>
          <w:sz w:val="20"/>
          <w:szCs w:val="20"/>
          <w:highlight w:val="white"/>
        </w:rPr>
        <w:t xml:space="preserve"> (Sistema Brasileiro de Inspeção de Produtos de Origem Animal).</w:t>
      </w:r>
    </w:p>
    <w:p>
      <w:pPr>
        <w:pStyle w:val="Normal"/>
        <w:spacing w:lineRule="auto" w:line="240"/>
        <w:jc w:val="both"/>
        <w:rPr>
          <w:rFonts w:ascii="Verdana" w:hAnsi="Verdana"/>
          <w:b/>
          <w:bCs/>
          <w:sz w:val="20"/>
          <w:szCs w:val="20"/>
        </w:rPr>
      </w:pPr>
      <w:r>
        <w:rPr>
          <w:rFonts w:ascii="Verdana" w:hAnsi="Verdana"/>
          <w:b/>
          <w:bCs/>
          <w:sz w:val="20"/>
          <w:szCs w:val="20"/>
        </w:rPr>
      </w:r>
    </w:p>
    <w:p>
      <w:pPr>
        <w:pStyle w:val="Normal"/>
        <w:spacing w:lineRule="auto" w:line="240"/>
        <w:jc w:val="both"/>
        <w:rPr/>
      </w:pPr>
      <w:r>
        <w:rPr>
          <w:rFonts w:ascii="Verdana" w:hAnsi="Verdana"/>
          <w:b/>
          <w:bCs/>
          <w:sz w:val="20"/>
          <w:szCs w:val="20"/>
        </w:rPr>
        <w:tab/>
        <w:t>4.3. Dos requisitos temporais.</w:t>
      </w:r>
    </w:p>
    <w:p>
      <w:pPr>
        <w:pStyle w:val="Normal"/>
        <w:spacing w:lineRule="auto" w:line="240"/>
        <w:jc w:val="both"/>
        <w:rPr/>
      </w:pPr>
      <w:r>
        <w:rPr>
          <w:rFonts w:ascii="Verdana" w:hAnsi="Verdana"/>
          <w:b w:val="false"/>
          <w:bCs w:val="false"/>
          <w:sz w:val="20"/>
          <w:szCs w:val="20"/>
        </w:rPr>
        <w:t xml:space="preserve">a) </w:t>
      </w:r>
      <w:r>
        <w:rPr>
          <w:rFonts w:ascii="Verdana" w:hAnsi="Verdana"/>
          <w:b w:val="false"/>
          <w:bCs w:val="false"/>
          <w:sz w:val="20"/>
          <w:szCs w:val="20"/>
          <w:highlight w:val="white"/>
        </w:rPr>
        <w:t xml:space="preserve">A contratada deverá cumprir com as entregas de acordo com o cronograma anexado aos autos com as datas estipuladas e quantidades, que deverá ser anexado ao contrato, com duração de (seis entregas), uma por mês, de acordo com levantamento e em respeito ao cardápio escolar realizado pela nutricionista. </w:t>
      </w:r>
    </w:p>
    <w:p>
      <w:pPr>
        <w:pStyle w:val="Normal"/>
        <w:spacing w:lineRule="auto" w:line="240"/>
        <w:jc w:val="both"/>
        <w:rPr/>
      </w:pPr>
      <w:r>
        <w:rPr>
          <w:rFonts w:ascii="Verdana" w:hAnsi="Verdana"/>
          <w:b w:val="false"/>
          <w:bCs w:val="false"/>
          <w:sz w:val="20"/>
          <w:szCs w:val="20"/>
          <w:highlight w:val="white"/>
        </w:rPr>
        <w:t>b) Não serão aceitas entregas parceladas em desacordo com o cronograma já anexado ao edital e posterior contrato, prejudicando assim a distribuição por escolas.</w:t>
      </w:r>
    </w:p>
    <w:p>
      <w:pPr>
        <w:pStyle w:val="Normal"/>
        <w:spacing w:lineRule="auto" w:line="24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jc w:val="both"/>
        <w:rPr/>
      </w:pPr>
      <w:r>
        <w:rPr>
          <w:rFonts w:ascii="Verdana" w:hAnsi="Verdana"/>
          <w:b/>
          <w:bCs/>
          <w:sz w:val="20"/>
          <w:szCs w:val="20"/>
          <w:u w:val="none"/>
        </w:rPr>
        <w:tab/>
        <w:t>4.4. Do Reajuste.</w:t>
      </w:r>
    </w:p>
    <w:p>
      <w:pPr>
        <w:pStyle w:val="Normal"/>
        <w:spacing w:lineRule="auto" w:line="240"/>
        <w:jc w:val="both"/>
        <w:rPr/>
      </w:pPr>
      <w:r>
        <w:rPr>
          <w:rFonts w:ascii="Verdana" w:hAnsi="Verdana"/>
          <w:b/>
          <w:bCs/>
          <w:sz w:val="20"/>
          <w:szCs w:val="20"/>
          <w:highlight w:val="white"/>
          <w:u w:val="none"/>
        </w:rPr>
        <w:t>4.4.1 Acerca de reajustamento de preços</w:t>
      </w:r>
      <w:r>
        <w:rPr>
          <w:rFonts w:ascii="Verdana" w:hAnsi="Verdana"/>
          <w:b w:val="false"/>
          <w:bCs w:val="false"/>
          <w:sz w:val="20"/>
          <w:szCs w:val="20"/>
          <w:highlight w:val="white"/>
          <w:u w:val="none"/>
        </w:rPr>
        <w:t>. Texto de Orientação Técnica Contábil (setor de contabilidade). Os preços inicialmente registrados ou contratados serão fixos e irreajustáveis pelo período de 12 (doze) meses, contado da data-base do orçamento estimado que fundamentou a contratação. Após o transcurso do interregno anual, os preços poderão ser reajustados pela variação acumulada do Índice Nacional de Preços ao Consumidor Amplo - IPCA, divulgado pelo Instituto Brasileiro de Geografia e Estatística - IBGE, mediante aplicação da fórmula PR = P₀ × (I₁ ÷ I₀). Os reajustamentos subsequentes somente poderão ocorrer após novo período de 12 (doze) meses, contado dos efeitos financeiros do reajustamento anterior, incidindo exclusivamente sobre as obrigações executadas após a aquisição do direito. Na hipótese de extinção ou indisponibilidade do índice, será adotado o índice oficial que vier a substituí-lo ou outro que melhor represente a variação dos custos do objeto, mediante justificativa técnica e decisão da autoridade competente. O reajustamento não se confunde com a recomposição extraordinária do equilíbrio econômico-financeiro, sendo vedada a duplicidade de atualização relativamente ao mesmo período e ao mesmo fato gerador.</w:t>
      </w:r>
    </w:p>
    <w:p>
      <w:pPr>
        <w:pStyle w:val="Normal"/>
        <w:spacing w:lineRule="auto" w:line="240"/>
        <w:jc w:val="both"/>
        <w:rPr>
          <w:rFonts w:ascii="Verdana" w:hAnsi="Verdana"/>
          <w:b w:val="false"/>
          <w:bCs w:val="false"/>
          <w:sz w:val="20"/>
          <w:szCs w:val="20"/>
        </w:rPr>
      </w:pPr>
      <w:r>
        <w:rPr>
          <w:rFonts w:ascii="Verdana" w:hAnsi="Verdana"/>
          <w:b w:val="false"/>
          <w:bCs w:val="false"/>
          <w:sz w:val="20"/>
          <w:szCs w:val="20"/>
        </w:rPr>
      </w:r>
    </w:p>
    <w:p>
      <w:pPr>
        <w:pStyle w:val="Nivel1"/>
        <w:keepNext w:val="true"/>
        <w:keepLines/>
        <w:widowControl/>
        <w:suppressAutoHyphens w:val="true"/>
        <w:overflowPunct w:val="true"/>
        <w:bidi w:val="0"/>
        <w:spacing w:lineRule="auto" w:line="240" w:before="0" w:after="0"/>
        <w:ind w:hanging="0" w:left="0" w:right="0"/>
        <w:jc w:val="both"/>
        <w:rPr/>
      </w:pPr>
      <w:r>
        <w:rPr>
          <w:rFonts w:ascii="Verdana" w:hAnsi="Verdana"/>
          <w:i w:val="false"/>
          <w:iCs w:val="false"/>
          <w:sz w:val="20"/>
          <w:szCs w:val="20"/>
        </w:rPr>
        <w:t>5. ENTREGA E CRITÉRIOS DE ACEITAÇÃO DO OBJETO.</w:t>
      </w:r>
    </w:p>
    <w:p>
      <w:pPr>
        <w:pStyle w:val="Normal"/>
        <w:spacing w:lineRule="auto" w:line="240"/>
        <w:ind w:left="110"/>
        <w:jc w:val="both"/>
        <w:rPr/>
      </w:pPr>
      <w:r>
        <w:rPr>
          <w:rFonts w:ascii="Verdana" w:hAnsi="Verdana"/>
          <w:b w:val="false"/>
          <w:bCs w:val="false"/>
          <w:sz w:val="20"/>
          <w:szCs w:val="20"/>
        </w:rPr>
        <w:t>a) Os gêneros perecíveis deverão ser apresentados no depósito do SEMAE, localizado na Rua Eli Cardoso, s/nº, Bairro Santa Cecília (Escola Irmã Adelaide Bertocchi - Polivalente), nesta cidade, juntamente com a Nota Fiscal para avaliação da qualidade e conferência do item com a descrição solicitada no Edital de Licitação; após, serão liberados para serem entregues diretamente nas escolas conforme cronogramas de entrega;</w:t>
      </w:r>
    </w:p>
    <w:p>
      <w:pPr>
        <w:pStyle w:val="Normal"/>
        <w:spacing w:lineRule="auto" w:line="240"/>
        <w:ind w:left="110"/>
        <w:jc w:val="both"/>
        <w:rPr/>
      </w:pPr>
      <w:r>
        <w:rPr>
          <w:rFonts w:ascii="Verdana" w:hAnsi="Verdana"/>
          <w:b w:val="false"/>
          <w:bCs w:val="false"/>
          <w:sz w:val="20"/>
          <w:szCs w:val="20"/>
        </w:rPr>
        <w:t>b) Os gêneros não perecíveis dev</w:t>
      </w:r>
      <w:r>
        <w:rPr>
          <w:rFonts w:ascii="Verdana" w:hAnsi="Verdana"/>
          <w:sz w:val="20"/>
          <w:szCs w:val="20"/>
        </w:rPr>
        <w:t xml:space="preserve">erão ser entregues diretamente no depósito do SEMAE, localizado na Rua Eli Cardoso, s/nº, Bairro Santa Cecília - (Escola Irmã Adelaide Bertocchi - Polivalente), nesta cidade, juntamente com a Nota Fiscal </w:t>
      </w:r>
      <w:r>
        <w:rPr>
          <w:rFonts w:ascii="Verdana" w:hAnsi="Verdana"/>
          <w:b w:val="false"/>
          <w:bCs w:val="false"/>
          <w:sz w:val="20"/>
          <w:szCs w:val="20"/>
        </w:rPr>
        <w:t>conforme cronograma de entrega.</w:t>
      </w:r>
    </w:p>
    <w:p>
      <w:pPr>
        <w:pStyle w:val="Normal"/>
        <w:spacing w:lineRule="auto" w:line="240"/>
        <w:ind w:left="110"/>
        <w:jc w:val="both"/>
        <w:rPr/>
      </w:pPr>
      <w:r>
        <w:rPr>
          <w:rFonts w:ascii="Verdana" w:hAnsi="Verdana"/>
          <w:b w:val="false"/>
          <w:bCs w:val="false"/>
          <w:sz w:val="20"/>
          <w:szCs w:val="20"/>
        </w:rPr>
        <w:t>c)A entrega deverá ocorrer sem qualquer ônus adicional, bem como a descarga e todas as demais despesas provenientes da mesma.</w:t>
      </w:r>
    </w:p>
    <w:p>
      <w:pPr>
        <w:pStyle w:val="Normal"/>
        <w:spacing w:lineRule="auto" w:line="240"/>
        <w:ind w:left="110"/>
        <w:jc w:val="both"/>
        <w:rPr/>
      </w:pPr>
      <w:r>
        <w:rPr>
          <w:rFonts w:ascii="Verdana" w:hAnsi="Verdana"/>
          <w:b w:val="false"/>
          <w:bCs w:val="false"/>
          <w:sz w:val="20"/>
          <w:szCs w:val="20"/>
        </w:rPr>
        <w:t>d)A Empresa vencedora garantirá a qualidade dos materiais obrigando-se a repor aquele que apresentar defeito ou for entregue em desacordo com o apresentado na proposta.</w:t>
      </w:r>
    </w:p>
    <w:p>
      <w:pPr>
        <w:pStyle w:val="Normal"/>
        <w:spacing w:lineRule="auto" w:line="240"/>
        <w:ind w:left="110"/>
        <w:jc w:val="both"/>
        <w:rPr/>
      </w:pPr>
      <w:r>
        <w:rPr>
          <w:rFonts w:ascii="Verdana" w:hAnsi="Verdana"/>
          <w:b w:val="false"/>
          <w:bCs w:val="false"/>
          <w:sz w:val="20"/>
          <w:szCs w:val="20"/>
        </w:rPr>
        <w:t>e)Os itens deverão ser entregues dentro do horário de expediente do setor de alimentação escolar e das escolas sendo de 7h às 17h, observando feriados e pontos facultativos.</w:t>
      </w:r>
    </w:p>
    <w:p>
      <w:pPr>
        <w:pStyle w:val="Normal"/>
        <w:spacing w:lineRule="auto" w:line="240"/>
        <w:ind w:left="110"/>
        <w:jc w:val="both"/>
        <w:rPr/>
      </w:pPr>
      <w:r>
        <w:rPr>
          <w:rFonts w:ascii="Verdana" w:hAnsi="Verdana"/>
          <w:b w:val="false"/>
          <w:bCs w:val="false"/>
          <w:sz w:val="20"/>
          <w:szCs w:val="20"/>
        </w:rPr>
        <w:t xml:space="preserve">f)A Empresa vencedora garantirá a qualidade dos itens obrigando-se a repor aquele que apresentar defeito ou for entregue em desacordo com o apresentado na proposta; </w:t>
      </w:r>
    </w:p>
    <w:p>
      <w:pPr>
        <w:pStyle w:val="Normal"/>
        <w:spacing w:lineRule="auto" w:line="240"/>
        <w:ind w:left="110"/>
        <w:jc w:val="both"/>
        <w:rPr/>
      </w:pPr>
      <w:r>
        <w:rPr>
          <w:rFonts w:ascii="Verdana" w:hAnsi="Verdana"/>
          <w:b w:val="false"/>
          <w:bCs w:val="false"/>
          <w:sz w:val="20"/>
          <w:szCs w:val="20"/>
        </w:rPr>
        <w:t>g)O material deverá ser entregue nas mesmas marcas indicadas nas propostas de preços vencedoras do certame e especificações constantes nas solicitações de compras.</w:t>
      </w:r>
    </w:p>
    <w:p>
      <w:pPr>
        <w:pStyle w:val="Normal"/>
        <w:spacing w:lineRule="auto" w:line="240"/>
        <w:ind w:left="110"/>
        <w:jc w:val="both"/>
        <w:rPr/>
      </w:pPr>
      <w:r>
        <w:rPr>
          <w:rFonts w:ascii="Verdana" w:hAnsi="Verdana"/>
          <w:b w:val="false"/>
          <w:bCs w:val="false"/>
          <w:sz w:val="20"/>
          <w:szCs w:val="20"/>
        </w:rPr>
        <w:t>h)O recebimento provisório do material entregue dar-se-á pela conferência com a descrição constante da ordem de fornecimento ou serviço;</w:t>
      </w:r>
    </w:p>
    <w:p>
      <w:pPr>
        <w:pStyle w:val="Normal"/>
        <w:spacing w:lineRule="auto" w:line="240"/>
        <w:ind w:left="110"/>
        <w:jc w:val="both"/>
        <w:rPr/>
      </w:pPr>
      <w:r>
        <w:rPr>
          <w:rFonts w:ascii="Verdana" w:hAnsi="Verdana"/>
          <w:b w:val="false"/>
          <w:bCs w:val="false"/>
          <w:sz w:val="20"/>
          <w:szCs w:val="20"/>
        </w:rPr>
        <w:t>i) O recebimento definitivo ocorrerá com a verificação integral de todos os itens e características do produto fornecido pela CONTRATADA;</w:t>
      </w:r>
    </w:p>
    <w:p>
      <w:pPr>
        <w:pStyle w:val="Normal"/>
        <w:spacing w:lineRule="auto" w:line="240"/>
        <w:ind w:left="110"/>
        <w:jc w:val="both"/>
        <w:rPr/>
      </w:pPr>
      <w:r>
        <w:rPr>
          <w:rFonts w:ascii="Verdana" w:hAnsi="Verdana"/>
          <w:b w:val="false"/>
          <w:bCs w:val="false"/>
          <w:sz w:val="20"/>
          <w:szCs w:val="20"/>
        </w:rPr>
        <w:t>j) O recebimento definitivo não isenta a CONTRATADA de responsabilidades futuras quanto à qualidade dos fornecimentos e serviços prestados.</w:t>
      </w:r>
    </w:p>
    <w:p>
      <w:pPr>
        <w:pStyle w:val="Normal"/>
        <w:spacing w:lineRule="auto" w:line="240"/>
        <w:ind w:left="110"/>
        <w:jc w:val="both"/>
        <w:rPr/>
      </w:pPr>
      <w:r>
        <w:rPr>
          <w:rFonts w:cs="Arial" w:ascii="Verdana" w:hAnsi="Verdana"/>
          <w:b w:val="false"/>
          <w:bCs w:val="false"/>
          <w:sz w:val="20"/>
          <w:szCs w:val="20"/>
        </w:rPr>
        <w:t>k) O recebimento provisório dos produtos não implica em aceitação dos mesmos;</w:t>
      </w:r>
    </w:p>
    <w:p>
      <w:pPr>
        <w:pStyle w:val="Normal"/>
        <w:spacing w:lineRule="auto" w:line="240"/>
        <w:ind w:left="110"/>
        <w:jc w:val="both"/>
        <w:rPr/>
      </w:pPr>
      <w:r>
        <w:rPr>
          <w:rFonts w:ascii="Verdana" w:hAnsi="Verdana"/>
          <w:b w:val="false"/>
          <w:bCs w:val="false"/>
          <w:sz w:val="20"/>
          <w:szCs w:val="20"/>
        </w:rPr>
        <w:t>l) Os produtos que não estiverem de acordo com as especificações exigidas, apresentem vício de qualidade ou impropriedade para o uso, serão recusadas e devolvidas parcial ou totalmente, conforme caso, ficando a CONTRATADA, obrigada a substituí-los no prazo de 5 (cinco) dias úteis, contadas do recebimento da notificação escrita, sob pena de incorrer em atraso quanto ao prazo de execução;</w:t>
      </w:r>
    </w:p>
    <w:p>
      <w:pPr>
        <w:pStyle w:val="Normal"/>
        <w:spacing w:lineRule="auto" w:line="240"/>
        <w:ind w:left="110"/>
        <w:jc w:val="both"/>
        <w:rPr/>
      </w:pPr>
      <w:r>
        <w:rPr>
          <w:rFonts w:ascii="Verdana" w:hAnsi="Verdana"/>
          <w:b w:val="false"/>
          <w:bCs w:val="false"/>
          <w:sz w:val="20"/>
          <w:szCs w:val="20"/>
        </w:rPr>
        <w:t>m) Havendo erro na Nota Fiscal ou outra circunstância impeditiva, o recebimento definitivo será suspenso, até que a empresa tome as medidas saneadoras necessárias;</w:t>
      </w:r>
    </w:p>
    <w:p>
      <w:pPr>
        <w:pStyle w:val="Normal"/>
        <w:spacing w:lineRule="auto" w:line="240"/>
        <w:ind w:left="110"/>
        <w:jc w:val="both"/>
        <w:rPr>
          <w:rFonts w:ascii="Verdana" w:hAnsi="Verdana"/>
          <w:sz w:val="20"/>
          <w:szCs w:val="20"/>
        </w:rPr>
      </w:pPr>
      <w:r>
        <w:rPr>
          <w:rFonts w:ascii="Verdana" w:hAnsi="Verdana"/>
          <w:sz w:val="20"/>
          <w:szCs w:val="20"/>
        </w:rPr>
      </w:r>
    </w:p>
    <w:p>
      <w:pPr>
        <w:pStyle w:val="Normal"/>
        <w:spacing w:lineRule="auto" w:line="240"/>
        <w:ind w:left="110"/>
        <w:jc w:val="both"/>
        <w:rPr>
          <w:rFonts w:ascii="Verdana" w:hAnsi="Verdana"/>
          <w:sz w:val="20"/>
          <w:szCs w:val="20"/>
        </w:rPr>
      </w:pPr>
      <w:r>
        <w:rPr>
          <w:rFonts w:ascii="Verdana" w:hAnsi="Verdana"/>
          <w:sz w:val="20"/>
          <w:szCs w:val="20"/>
        </w:rPr>
      </w:r>
    </w:p>
    <w:p>
      <w:pPr>
        <w:pStyle w:val="Normal"/>
        <w:spacing w:lineRule="auto" w:line="240"/>
        <w:ind w:left="110"/>
        <w:jc w:val="both"/>
        <w:rPr/>
      </w:pPr>
      <w:r>
        <w:rPr>
          <w:rFonts w:ascii="Verdana" w:hAnsi="Verdana"/>
          <w:b/>
          <w:sz w:val="20"/>
          <w:szCs w:val="20"/>
        </w:rPr>
        <w:tab/>
        <w:t>5.1 Das Amostras</w:t>
      </w:r>
    </w:p>
    <w:p>
      <w:pPr>
        <w:pStyle w:val="Normal"/>
        <w:spacing w:lineRule="auto" w:line="240"/>
        <w:ind w:left="110"/>
        <w:jc w:val="both"/>
        <w:rPr/>
      </w:pPr>
      <w:r>
        <w:rPr>
          <w:rFonts w:ascii="Verdana" w:hAnsi="Verdana"/>
          <w:b w:val="false"/>
          <w:bCs w:val="false"/>
          <w:sz w:val="20"/>
          <w:szCs w:val="20"/>
        </w:rPr>
        <w:t>a) As amostras deverão ser apresentadas em no Máximo 2 (dois) dias úteis após o certame licitatório, podendo o prazo ser prorrogado ou a entrega ser dispensada, a pedido da contratante, desde que através de solicitação devidamente justificada e aceita;</w:t>
      </w:r>
    </w:p>
    <w:p>
      <w:pPr>
        <w:pStyle w:val="Normal"/>
        <w:spacing w:lineRule="auto" w:line="240"/>
        <w:ind w:left="110"/>
        <w:jc w:val="both"/>
        <w:rPr/>
      </w:pPr>
      <w:r>
        <w:rPr>
          <w:rFonts w:ascii="Verdana" w:hAnsi="Verdana"/>
          <w:b w:val="false"/>
          <w:bCs w:val="false"/>
          <w:sz w:val="20"/>
          <w:szCs w:val="20"/>
        </w:rPr>
        <w:t>b) Os produtos apresentados como amostras poderão ser abertos, manuseados e consumidos;</w:t>
      </w:r>
    </w:p>
    <w:p>
      <w:pPr>
        <w:pStyle w:val="Normal"/>
        <w:spacing w:lineRule="auto" w:line="240"/>
        <w:ind w:left="110"/>
        <w:jc w:val="both"/>
        <w:rPr/>
      </w:pPr>
      <w:r>
        <w:rPr>
          <w:rFonts w:ascii="Verdana" w:hAnsi="Verdana"/>
          <w:b w:val="false"/>
          <w:bCs w:val="false"/>
          <w:sz w:val="20"/>
          <w:szCs w:val="20"/>
        </w:rPr>
        <w:t>c) A amostra apresentada, não será em hipótese alguma, considerada como início de entrega dos gêneros;</w:t>
      </w:r>
    </w:p>
    <w:p>
      <w:pPr>
        <w:pStyle w:val="Normal"/>
        <w:spacing w:lineRule="auto" w:line="240"/>
        <w:ind w:left="110"/>
        <w:jc w:val="both"/>
        <w:rPr/>
      </w:pPr>
      <w:r>
        <w:rPr>
          <w:rFonts w:cs="Arial" w:ascii="Verdana" w:hAnsi="Verdana"/>
          <w:b w:val="false"/>
          <w:bCs w:val="false"/>
          <w:sz w:val="20"/>
          <w:szCs w:val="20"/>
        </w:rPr>
        <w:t xml:space="preserve">d) As amostras serão avaliadas pela Comissão do Núcleo de Promoção da Qualidade da Alimentação Escolar, apresentando o resultado em laudo escrito ao Departamento de Licitações para publicação do resultado as empresas participantes. </w:t>
      </w:r>
    </w:p>
    <w:p>
      <w:pPr>
        <w:pStyle w:val="Normal"/>
        <w:widowControl/>
        <w:suppressAutoHyphens w:val="false"/>
        <w:overflowPunct w:val="true"/>
        <w:bidi w:val="0"/>
        <w:spacing w:lineRule="auto" w:line="240" w:before="0" w:after="0"/>
        <w:ind w:firstLine="57" w:left="-57" w:right="0"/>
        <w:jc w:val="both"/>
        <w:rPr>
          <w:rFonts w:ascii="Verdana" w:hAnsi="Verdana"/>
          <w:sz w:val="20"/>
          <w:szCs w:val="20"/>
        </w:rPr>
      </w:pPr>
      <w:r>
        <w:rPr>
          <w:rFonts w:ascii="Verdana" w:hAnsi="Verdana"/>
          <w:sz w:val="20"/>
          <w:szCs w:val="20"/>
        </w:rPr>
      </w:r>
      <w:bookmarkStart w:id="3" w:name="page66R_mcid131"/>
      <w:bookmarkStart w:id="4" w:name="page66R_mcid13"/>
      <w:bookmarkStart w:id="5" w:name="page66R_mcid131"/>
      <w:bookmarkStart w:id="6" w:name="page66R_mcid13"/>
      <w:bookmarkEnd w:id="5"/>
      <w:bookmarkEnd w:id="6"/>
    </w:p>
    <w:p>
      <w:pPr>
        <w:pStyle w:val="Normal"/>
        <w:spacing w:lineRule="auto" w:line="240"/>
        <w:ind w:hanging="0" w:left="0" w:right="0"/>
        <w:jc w:val="both"/>
        <w:rPr/>
      </w:pPr>
      <w:r>
        <w:rPr>
          <w:rFonts w:cs="Arial" w:ascii="Verdana" w:hAnsi="Verdana"/>
          <w:b/>
          <w:bCs/>
          <w:i w:val="false"/>
          <w:iCs w:val="false"/>
          <w:color w:val="000000"/>
          <w:sz w:val="20"/>
          <w:szCs w:val="20"/>
        </w:rPr>
        <w:t>6. OBRIGAÇÕES DA CONTRATANTE</w:t>
      </w:r>
    </w:p>
    <w:p>
      <w:pPr>
        <w:pStyle w:val="Normal"/>
        <w:spacing w:lineRule="auto" w:line="240" w:before="57" w:after="57"/>
        <w:ind w:hanging="0" w:left="0" w:right="0"/>
        <w:jc w:val="both"/>
        <w:rPr/>
      </w:pPr>
      <w:r>
        <w:rPr>
          <w:rFonts w:eastAsia="Times New Roman" w:cs="Arial" w:ascii="Verdana" w:hAnsi="Verdana"/>
          <w:b w:val="false"/>
          <w:bCs w:val="false"/>
          <w:i w:val="false"/>
          <w:iCs w:val="false"/>
          <w:color w:val="000000"/>
          <w:sz w:val="20"/>
          <w:szCs w:val="20"/>
        </w:rPr>
        <w:t>6.1.</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Receber os objetos no prazo e condições estabelecidas neste Termo de Referência, no contrato e seus anexos.</w:t>
      </w:r>
    </w:p>
    <w:p>
      <w:pPr>
        <w:pStyle w:val="Normal"/>
        <w:spacing w:lineRule="auto" w:line="240" w:before="57" w:after="57"/>
        <w:ind w:hanging="0" w:left="0" w:right="0"/>
        <w:jc w:val="both"/>
        <w:rPr/>
      </w:pPr>
      <w:r>
        <w:rPr>
          <w:rFonts w:ascii="Verdana" w:hAnsi="Verdana"/>
          <w:b w:val="false"/>
          <w:bCs w:val="false"/>
          <w:sz w:val="20"/>
          <w:szCs w:val="20"/>
        </w:rPr>
        <w:t>6</w:t>
      </w:r>
      <w:r>
        <w:rPr>
          <w:rFonts w:cs="Arial" w:ascii="Verdana" w:hAnsi="Verdana"/>
          <w:b w:val="false"/>
          <w:bCs w:val="false"/>
          <w:i w:val="false"/>
          <w:iCs w:val="false"/>
          <w:color w:val="000000"/>
          <w:sz w:val="20"/>
          <w:szCs w:val="20"/>
        </w:rPr>
        <w:t>.2</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Verificar minuciosamente, no prazo fixado, a conformidade dos </w:t>
      </w:r>
      <w:r>
        <w:rPr>
          <w:rFonts w:eastAsia="Times New Roman" w:cs="Arial" w:ascii="Verdana" w:hAnsi="Verdana"/>
          <w:b w:val="false"/>
          <w:bCs w:val="false"/>
          <w:i w:val="false"/>
          <w:iCs w:val="false"/>
          <w:color w:val="000000"/>
          <w:sz w:val="20"/>
          <w:szCs w:val="20"/>
        </w:rPr>
        <w:t>gêneros alimentícios</w:t>
      </w:r>
      <w:bookmarkStart w:id="7" w:name="page68R_mcid7"/>
      <w:r>
        <w:rPr>
          <w:rFonts w:cs="Arial" w:ascii="Verdana" w:hAnsi="Verdana"/>
          <w:b w:val="false"/>
          <w:bCs w:val="false"/>
          <w:i w:val="false"/>
          <w:iCs w:val="false"/>
          <w:color w:val="000000"/>
          <w:sz w:val="20"/>
          <w:szCs w:val="20"/>
        </w:rPr>
        <w:t xml:space="preserve"> provisoriamente com as especificações constantes neste Termo de Referência, da proposta e contrato para fins de aceitação e recebimento definitivo.</w:t>
      </w:r>
    </w:p>
    <w:p>
      <w:pPr>
        <w:pStyle w:val="Normal"/>
        <w:spacing w:lineRule="auto" w:line="240" w:before="57" w:after="57"/>
        <w:ind w:hanging="0" w:left="0" w:right="0"/>
        <w:jc w:val="both"/>
        <w:rPr/>
      </w:pPr>
      <w:r>
        <w:rPr>
          <w:rFonts w:cs="Arial" w:ascii="Verdana" w:hAnsi="Verdana"/>
          <w:b w:val="false"/>
          <w:bCs w:val="false"/>
          <w:i w:val="false"/>
          <w:iCs w:val="false"/>
          <w:color w:val="000000"/>
          <w:sz w:val="20"/>
          <w:szCs w:val="20"/>
        </w:rPr>
        <w:t>6.3. Comunicar à Contratada, por escrito, sobre imperfeições, falhas ou irregularidades verificadas no objeto fornecido, para que seja substituído, reparado ou corrigido.</w:t>
      </w:r>
    </w:p>
    <w:p>
      <w:pPr>
        <w:pStyle w:val="Normal"/>
        <w:spacing w:lineRule="auto" w:line="240" w:before="57" w:after="57"/>
        <w:ind w:hanging="0" w:left="0" w:right="0"/>
        <w:jc w:val="both"/>
        <w:rPr/>
      </w:pPr>
      <w:r>
        <w:rPr>
          <w:rFonts w:cs="Arial" w:ascii="Verdana" w:hAnsi="Verdana"/>
          <w:b w:val="false"/>
          <w:bCs w:val="false"/>
          <w:i w:val="false"/>
          <w:iCs w:val="false"/>
          <w:color w:val="000000"/>
          <w:sz w:val="20"/>
          <w:szCs w:val="20"/>
        </w:rPr>
        <w:t>6.4. Acompanhar e fiscalizar o cumprimento das obrigações da Contratada, através de comissão/servidor especialmente designado.</w:t>
      </w:r>
    </w:p>
    <w:p>
      <w:pPr>
        <w:pStyle w:val="Normal"/>
        <w:spacing w:lineRule="auto" w:line="240" w:before="57" w:after="57"/>
        <w:ind w:hanging="0" w:left="0" w:right="0"/>
        <w:jc w:val="both"/>
        <w:rPr/>
      </w:pPr>
      <w:r>
        <w:rPr>
          <w:rFonts w:cs="Arial" w:ascii="Verdana" w:hAnsi="Verdana"/>
          <w:b w:val="false"/>
          <w:bCs w:val="false"/>
          <w:i w:val="false"/>
          <w:iCs w:val="false"/>
          <w:color w:val="000000"/>
          <w:sz w:val="20"/>
          <w:szCs w:val="20"/>
        </w:rPr>
        <w:t>6.5. Efetuar o pagamento à Contratada no valor correspondente ao fornecimento dos  gêneros alimentícios, no prazo e forma estabelecidos neste Termo de Referência, seus anexos e contrato.</w:t>
      </w:r>
    </w:p>
    <w:p>
      <w:pPr>
        <w:pStyle w:val="Normal"/>
        <w:spacing w:lineRule="auto" w:line="240" w:before="57" w:after="57"/>
        <w:ind w:hanging="0" w:left="0" w:right="0"/>
        <w:jc w:val="both"/>
        <w:rPr/>
      </w:pPr>
      <w:r>
        <w:rPr>
          <w:rFonts w:eastAsia="Times New Roman" w:cs="Arial" w:ascii="Verdana" w:hAnsi="Verdana"/>
          <w:b w:val="false"/>
          <w:bCs w:val="false"/>
          <w:i w:val="false"/>
          <w:iCs w:val="false"/>
          <w:color w:val="000000"/>
          <w:sz w:val="20"/>
          <w:szCs w:val="20"/>
        </w:rPr>
        <w:t xml:space="preserve">6.6.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w:t>
      </w:r>
      <w:r>
        <w:rPr>
          <w:rFonts w:eastAsia="Times New Roman" w:cs="Arial" w:ascii="Verdana" w:hAnsi="Verdana"/>
          <w:b w:val="false"/>
          <w:bCs w:val="false"/>
          <w:i w:val="false"/>
          <w:iCs w:val="false"/>
          <w:color w:val="000000"/>
          <w:sz w:val="20"/>
          <w:szCs w:val="20"/>
        </w:rPr>
        <w:t>do presente contrato</w:t>
      </w:r>
      <w:r>
        <w:rPr>
          <w:rFonts w:cs="Arial" w:ascii="Verdana" w:hAnsi="Verdana"/>
          <w:b w:val="false"/>
          <w:bCs w:val="false"/>
          <w:i w:val="false"/>
          <w:iCs w:val="false"/>
          <w:color w:val="000000"/>
          <w:sz w:val="20"/>
          <w:szCs w:val="20"/>
        </w:rPr>
        <w:t>, bem como por qualquer dano causado a terceiros em decorrência de ato da Contratada, de seus empregados, prepostos ou subordinados.</w:t>
      </w:r>
    </w:p>
    <w:p>
      <w:pPr>
        <w:pStyle w:val="Normal"/>
        <w:spacing w:lineRule="auto" w:line="240" w:before="57" w:after="57"/>
        <w:ind w:hanging="0" w:left="0" w:right="0"/>
        <w:jc w:val="both"/>
        <w:rPr>
          <w:rFonts w:ascii="Verdana" w:hAnsi="Verdana"/>
          <w:sz w:val="20"/>
          <w:szCs w:val="20"/>
        </w:rPr>
      </w:pPr>
      <w:r>
        <w:rPr>
          <w:rFonts w:ascii="Verdana" w:hAnsi="Verdana"/>
          <w:sz w:val="20"/>
          <w:szCs w:val="20"/>
        </w:rPr>
      </w:r>
    </w:p>
    <w:p>
      <w:pPr>
        <w:pStyle w:val="Normal"/>
        <w:spacing w:lineRule="auto" w:line="240" w:before="0" w:after="0"/>
        <w:ind w:hanging="0" w:left="0" w:right="0"/>
        <w:jc w:val="both"/>
        <w:rPr/>
      </w:pPr>
      <w:bookmarkStart w:id="8" w:name="page68R_mcid17"/>
      <w:bookmarkEnd w:id="8"/>
      <w:r>
        <w:rPr>
          <w:rFonts w:cs="Arial" w:ascii="Verdana" w:hAnsi="Verdana"/>
          <w:b/>
          <w:bCs/>
          <w:i w:val="false"/>
          <w:iCs w:val="false"/>
          <w:color w:val="000000"/>
          <w:sz w:val="20"/>
          <w:szCs w:val="20"/>
        </w:rPr>
        <w:t>7. OBRIGAÇÕES DA CONTRATADA</w:t>
      </w:r>
    </w:p>
    <w:p>
      <w:pPr>
        <w:pStyle w:val="Normal"/>
        <w:spacing w:lineRule="auto" w:line="240"/>
        <w:ind w:hanging="0" w:left="0" w:right="0"/>
        <w:jc w:val="both"/>
        <w:rPr/>
      </w:pPr>
      <w:r>
        <w:rPr>
          <w:rFonts w:cs="Arial" w:ascii="Verdana" w:hAnsi="Verdana"/>
          <w:b w:val="false"/>
          <w:bCs w:val="false"/>
          <w:i w:val="false"/>
          <w:iCs w:val="false"/>
          <w:color w:val="000000"/>
          <w:sz w:val="20"/>
          <w:szCs w:val="20"/>
        </w:rPr>
        <w:t>7.1. A Contratada deve cumprir todas as obrigações constantes neste Termo de Referência, seus anexos, sua proposta e contrato, assumindo como exclusivamente seus os riscos e as despesas decorrentes da boa e perfeita execução do objeto.</w:t>
      </w:r>
    </w:p>
    <w:p>
      <w:pPr>
        <w:pStyle w:val="Normal"/>
        <w:spacing w:lineRule="auto" w:line="240"/>
        <w:ind w:hanging="0" w:left="0" w:right="0"/>
        <w:jc w:val="both"/>
        <w:rPr/>
      </w:pPr>
      <w:r>
        <w:rPr>
          <w:rFonts w:cs="Arial" w:ascii="Verdana" w:hAnsi="Verdana"/>
          <w:b w:val="false"/>
          <w:bCs w:val="false"/>
          <w:i w:val="false"/>
          <w:iCs w:val="false"/>
          <w:color w:val="000000"/>
          <w:sz w:val="20"/>
          <w:szCs w:val="20"/>
        </w:rPr>
        <w:t>7.2.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pPr>
        <w:pStyle w:val="Normal"/>
        <w:spacing w:lineRule="auto" w:line="240"/>
        <w:ind w:hanging="0" w:left="0" w:right="0"/>
        <w:jc w:val="both"/>
        <w:rPr/>
      </w:pPr>
      <w:r>
        <w:rPr>
          <w:rFonts w:cs="Arial" w:ascii="Verdana" w:hAnsi="Verdana"/>
          <w:b w:val="false"/>
          <w:bCs w:val="false"/>
          <w:i w:val="false"/>
          <w:iCs w:val="false"/>
          <w:color w:val="000000"/>
          <w:sz w:val="20"/>
          <w:szCs w:val="20"/>
        </w:rPr>
        <w:t>7.3. Responsabilizar-se pelos vícios e danos decorrentes do objeto.</w:t>
      </w:r>
    </w:p>
    <w:p>
      <w:pPr>
        <w:pStyle w:val="Normal"/>
        <w:spacing w:lineRule="auto" w:line="240"/>
        <w:ind w:hanging="0" w:left="0" w:right="0"/>
        <w:jc w:val="both"/>
        <w:rPr/>
      </w:pPr>
      <w:r>
        <w:rPr>
          <w:rFonts w:cs="Arial" w:ascii="Verdana" w:hAnsi="Verdana"/>
          <w:b w:val="false"/>
          <w:bCs w:val="false"/>
          <w:i w:val="false"/>
          <w:iCs w:val="false"/>
          <w:color w:val="000000"/>
          <w:sz w:val="20"/>
          <w:szCs w:val="20"/>
        </w:rPr>
        <w:t>7.4.</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Substituir, reparar ou corrigir, às suas expensas, no prazo fixado neste Termo de Referência, o objeto com avarias ou defeitos.</w:t>
      </w:r>
    </w:p>
    <w:p>
      <w:pPr>
        <w:pStyle w:val="Normal"/>
        <w:spacing w:lineRule="auto" w:line="240"/>
        <w:ind w:hanging="0" w:left="0" w:right="0"/>
        <w:jc w:val="both"/>
        <w:rPr/>
      </w:pPr>
      <w:r>
        <w:rPr>
          <w:rFonts w:eastAsia="Times New Roman" w:cs="Arial" w:ascii="Verdana" w:hAnsi="Verdana"/>
          <w:b w:val="false"/>
          <w:bCs w:val="false"/>
          <w:i w:val="false"/>
          <w:iCs w:val="false"/>
          <w:color w:val="000000"/>
          <w:sz w:val="20"/>
          <w:szCs w:val="20"/>
        </w:rPr>
        <w:t xml:space="preserve">7.5. </w:t>
      </w:r>
      <w:r>
        <w:rPr>
          <w:rFonts w:cs="Arial" w:ascii="Verdana" w:hAnsi="Verdana"/>
          <w:b w:val="false"/>
          <w:bCs w:val="false"/>
          <w:i w:val="false"/>
          <w:iCs w:val="false"/>
          <w:color w:val="000000"/>
          <w:sz w:val="20"/>
          <w:szCs w:val="20"/>
        </w:rPr>
        <w:t>Comunicar à Contratante, no prazo máximo de 12 (</w:t>
      </w:r>
      <w:r>
        <w:rPr>
          <w:rFonts w:eastAsia="Times New Roman" w:cs="Arial" w:ascii="Verdana" w:hAnsi="Verdana"/>
          <w:b w:val="false"/>
          <w:bCs w:val="false"/>
          <w:i w:val="false"/>
          <w:iCs w:val="false"/>
          <w:color w:val="000000"/>
          <w:sz w:val="20"/>
          <w:szCs w:val="20"/>
        </w:rPr>
        <w:t>doze</w:t>
      </w:r>
      <w:r>
        <w:rPr>
          <w:rFonts w:cs="Arial" w:ascii="Verdana" w:hAnsi="Verdana"/>
          <w:b w:val="false"/>
          <w:bCs w:val="false"/>
          <w:i w:val="false"/>
          <w:iCs w:val="false"/>
          <w:color w:val="000000"/>
          <w:sz w:val="20"/>
          <w:szCs w:val="20"/>
        </w:rPr>
        <w:t>) horas que antecede a data da entrega, os motivos que impossibilitem o cumprimento do prazo previsto, com a devida comprovação.</w:t>
      </w:r>
    </w:p>
    <w:p>
      <w:pPr>
        <w:pStyle w:val="Normal"/>
        <w:spacing w:lineRule="auto" w:line="240"/>
        <w:ind w:hanging="0" w:left="0" w:right="0"/>
        <w:jc w:val="both"/>
        <w:rPr/>
      </w:pPr>
      <w:r>
        <w:rPr>
          <w:rFonts w:eastAsia="Times New Roman" w:cs="Arial" w:ascii="Verdana" w:hAnsi="Verdana"/>
          <w:b w:val="false"/>
          <w:bCs w:val="false"/>
          <w:i w:val="false"/>
          <w:iCs w:val="false"/>
          <w:color w:val="000000"/>
          <w:sz w:val="20"/>
          <w:szCs w:val="20"/>
        </w:rPr>
        <w:t>7.6.</w:t>
      </w:r>
      <w:r>
        <w:rPr>
          <w:rFonts w:eastAsia="Times New Roman"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Manter, durante toda a execução </w:t>
      </w:r>
      <w:r>
        <w:rPr>
          <w:rFonts w:eastAsia="Times New Roman" w:cs="Arial" w:ascii="Verdana" w:hAnsi="Verdana"/>
          <w:b w:val="false"/>
          <w:bCs w:val="false"/>
          <w:i w:val="false"/>
          <w:iCs w:val="false"/>
          <w:color w:val="000000"/>
          <w:sz w:val="20"/>
          <w:szCs w:val="20"/>
        </w:rPr>
        <w:t>do contrato</w:t>
      </w:r>
      <w:r>
        <w:rPr>
          <w:rFonts w:cs="Arial" w:ascii="Verdana" w:hAnsi="Verdana"/>
          <w:b w:val="false"/>
          <w:bCs w:val="false"/>
          <w:i w:val="false"/>
          <w:iCs w:val="false"/>
          <w:color w:val="000000"/>
          <w:sz w:val="20"/>
          <w:szCs w:val="20"/>
        </w:rPr>
        <w:t>, em compatibilidade com as obrigações assumidas, todas as condições de habilitação e qualificação exigidas.</w:t>
      </w:r>
    </w:p>
    <w:p>
      <w:pPr>
        <w:pStyle w:val="Normal"/>
        <w:tabs>
          <w:tab w:val="clear" w:pos="708"/>
          <w:tab w:val="left" w:pos="0" w:leader="none"/>
        </w:tabs>
        <w:spacing w:lineRule="auto" w:line="240"/>
        <w:ind w:hanging="0" w:left="0" w:right="0"/>
        <w:jc w:val="both"/>
        <w:rPr/>
      </w:pPr>
      <w:r>
        <w:rPr>
          <w:rFonts w:eastAsia="Times New Roman" w:cs="Arial" w:ascii="Verdana" w:hAnsi="Verdana"/>
          <w:b w:val="false"/>
          <w:bCs w:val="false"/>
          <w:i w:val="false"/>
          <w:iCs w:val="false"/>
          <w:color w:val="000000"/>
          <w:sz w:val="20"/>
          <w:szCs w:val="20"/>
        </w:rPr>
        <w:t xml:space="preserve">7.7. </w:t>
      </w:r>
      <w:r>
        <w:rPr>
          <w:rFonts w:cs="Arial" w:ascii="Verdana" w:hAnsi="Verdana"/>
          <w:b w:val="false"/>
          <w:bCs w:val="false"/>
          <w:i w:val="false"/>
          <w:iCs w:val="false"/>
          <w:color w:val="000000"/>
          <w:sz w:val="20"/>
          <w:szCs w:val="20"/>
        </w:rPr>
        <w:t xml:space="preserve">Indicar preposto para representá-la durante a execução da ata </w:t>
      </w:r>
      <w:r>
        <w:rPr>
          <w:rFonts w:eastAsia="Times New Roman" w:cs="Arial" w:ascii="Verdana" w:hAnsi="Verdana"/>
          <w:b w:val="false"/>
          <w:bCs w:val="false"/>
          <w:i w:val="false"/>
          <w:iCs w:val="false"/>
          <w:color w:val="000000"/>
          <w:sz w:val="20"/>
          <w:szCs w:val="20"/>
        </w:rPr>
        <w:t>contrato</w:t>
      </w:r>
      <w:r>
        <w:rPr>
          <w:rFonts w:cs="Arial" w:ascii="Verdana" w:hAnsi="Verdana"/>
          <w:b w:val="false"/>
          <w:bCs w:val="false"/>
          <w:i w:val="false"/>
          <w:iCs w:val="false"/>
          <w:color w:val="000000"/>
          <w:sz w:val="20"/>
          <w:szCs w:val="20"/>
        </w:rPr>
        <w:t>.</w:t>
      </w:r>
    </w:p>
    <w:p>
      <w:pPr>
        <w:pStyle w:val="Normal"/>
        <w:tabs>
          <w:tab w:val="clear" w:pos="708"/>
          <w:tab w:val="left" w:pos="450" w:leader="none"/>
        </w:tabs>
        <w:spacing w:lineRule="auto" w:line="240"/>
        <w:ind w:hanging="0" w:left="0" w:right="0"/>
        <w:jc w:val="both"/>
        <w:rPr/>
      </w:pPr>
      <w:r>
        <w:rPr>
          <w:rFonts w:eastAsia="Times New Roman" w:cs="Arial" w:ascii="Verdana" w:hAnsi="Verdana"/>
          <w:b w:val="false"/>
          <w:bCs w:val="false"/>
          <w:i w:val="false"/>
          <w:iCs w:val="false"/>
          <w:color w:val="000000"/>
          <w:sz w:val="20"/>
          <w:szCs w:val="20"/>
        </w:rPr>
        <w:t>7.8.</w:t>
      </w:r>
      <w:r>
        <w:rPr>
          <w:rFonts w:eastAsia="Times New Roman"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40"/>
        <w:ind w:hanging="0" w:left="0" w:right="0"/>
        <w:jc w:val="both"/>
        <w:rPr/>
      </w:pPr>
      <w:r>
        <w:rPr>
          <w:rFonts w:cs="Arial" w:ascii="Verdana" w:hAnsi="Verdana"/>
          <w:b w:val="false"/>
          <w:bCs w:val="false"/>
          <w:i w:val="false"/>
          <w:iCs w:val="false"/>
          <w:color w:val="000000"/>
          <w:sz w:val="20"/>
          <w:szCs w:val="20"/>
        </w:rPr>
        <w:t>7.9. Durante a execução d</w:t>
      </w:r>
      <w:r>
        <w:rPr>
          <w:rFonts w:eastAsia="Times New Roman" w:cs="Arial" w:ascii="Verdana" w:hAnsi="Verdana"/>
          <w:b w:val="false"/>
          <w:bCs w:val="false"/>
          <w:i w:val="false"/>
          <w:iCs w:val="false"/>
          <w:color w:val="000000"/>
          <w:sz w:val="20"/>
          <w:szCs w:val="20"/>
        </w:rPr>
        <w:t>o contrato</w:t>
      </w:r>
      <w:r>
        <w:rPr>
          <w:rFonts w:cs="Arial" w:ascii="Verdana" w:hAnsi="Verdana"/>
          <w:b w:val="false"/>
          <w:bCs w:val="false"/>
          <w:i w:val="false"/>
          <w:iCs w:val="false"/>
          <w:color w:val="000000"/>
          <w:sz w:val="20"/>
          <w:szCs w:val="20"/>
        </w:rPr>
        <w:t>, a CONTRATADA deverá:</w:t>
      </w:r>
      <w:r>
        <w:rPr>
          <w:rFonts w:ascii="Verdana" w:hAnsi="Verdana"/>
          <w:sz w:val="20"/>
          <w:szCs w:val="20"/>
        </w:rPr>
        <w:br/>
      </w:r>
      <w:r>
        <w:rPr>
          <w:rFonts w:ascii="Verdana" w:hAnsi="Verdana"/>
          <w:b w:val="false"/>
          <w:bCs w:val="false"/>
          <w:sz w:val="20"/>
          <w:szCs w:val="20"/>
        </w:rPr>
        <w:t>7</w:t>
      </w:r>
      <w:r>
        <w:rPr>
          <w:rFonts w:eastAsia="Times New Roman" w:cs="Arial" w:ascii="Verdana" w:hAnsi="Verdana"/>
          <w:b w:val="false"/>
          <w:bCs w:val="false"/>
          <w:i w:val="false"/>
          <w:iCs w:val="false"/>
          <w:color w:val="000000"/>
          <w:sz w:val="20"/>
          <w:szCs w:val="20"/>
        </w:rPr>
        <w:t>.9.1.</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Atender prontamente às solicitações </w:t>
      </w:r>
      <w:r>
        <w:rPr>
          <w:rFonts w:eastAsia="Times New Roman" w:cs="Arial" w:ascii="Verdana" w:hAnsi="Verdana"/>
          <w:b w:val="false"/>
          <w:bCs w:val="false"/>
          <w:i w:val="false"/>
          <w:iCs w:val="false"/>
          <w:color w:val="000000"/>
          <w:sz w:val="20"/>
          <w:szCs w:val="20"/>
        </w:rPr>
        <w:t>da secretaria requisitante nas</w:t>
      </w:r>
      <w:r>
        <w:rPr>
          <w:rFonts w:cs="Arial" w:ascii="Verdana" w:hAnsi="Verdana"/>
          <w:b w:val="false"/>
          <w:bCs w:val="false"/>
          <w:i w:val="false"/>
          <w:iCs w:val="false"/>
          <w:color w:val="000000"/>
          <w:sz w:val="20"/>
          <w:szCs w:val="20"/>
        </w:rPr>
        <w:t xml:space="preserve"> quantidades e especificações deste TERMO DE REFERÊNCIA e CONTRATO.</w:t>
      </w:r>
    </w:p>
    <w:p>
      <w:pPr>
        <w:pStyle w:val="Normal"/>
        <w:tabs>
          <w:tab w:val="clear" w:pos="708"/>
          <w:tab w:val="left" w:pos="0" w:leader="none"/>
        </w:tabs>
        <w:spacing w:lineRule="auto" w:line="240"/>
        <w:ind w:hanging="0" w:left="0" w:right="0"/>
        <w:jc w:val="both"/>
        <w:rPr/>
      </w:pPr>
      <w:r>
        <w:rPr>
          <w:rFonts w:eastAsia="Times New Roman" w:cs="Arial" w:ascii="Verdana" w:hAnsi="Verdana"/>
          <w:b w:val="false"/>
          <w:bCs w:val="false"/>
          <w:i w:val="false"/>
          <w:iCs w:val="false"/>
          <w:color w:val="000000"/>
          <w:sz w:val="20"/>
          <w:szCs w:val="20"/>
        </w:rPr>
        <w:t>7.9.</w:t>
      </w:r>
      <w:r>
        <w:rPr>
          <w:rFonts w:cs="Arial" w:ascii="Verdana" w:hAnsi="Verdana"/>
          <w:b w:val="false"/>
          <w:bCs w:val="false"/>
          <w:i w:val="false"/>
          <w:iCs w:val="false"/>
          <w:color w:val="000000"/>
          <w:sz w:val="20"/>
          <w:szCs w:val="20"/>
        </w:rPr>
        <w:t>2</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Entregar os </w:t>
      </w:r>
      <w:r>
        <w:rPr>
          <w:rFonts w:eastAsia="Times New Roman" w:cs="Arial" w:ascii="Verdana" w:hAnsi="Verdana"/>
          <w:b w:val="false"/>
          <w:bCs w:val="false"/>
          <w:i w:val="false"/>
          <w:iCs w:val="false"/>
          <w:color w:val="000000"/>
          <w:sz w:val="20"/>
          <w:szCs w:val="20"/>
        </w:rPr>
        <w:t>gêneros alimentícios</w:t>
      </w:r>
      <w:r>
        <w:rPr>
          <w:rFonts w:cs="Arial" w:ascii="Verdana" w:hAnsi="Verdana"/>
          <w:b w:val="false"/>
          <w:bCs w:val="false"/>
          <w:i w:val="false"/>
          <w:iCs w:val="false"/>
          <w:color w:val="000000"/>
          <w:sz w:val="20"/>
          <w:szCs w:val="20"/>
        </w:rPr>
        <w:t xml:space="preserve"> acondicionados adequadamente,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ind w:hanging="0" w:left="0" w:right="0"/>
        <w:jc w:val="both"/>
        <w:rPr/>
      </w:pPr>
      <w:r>
        <w:rPr>
          <w:rFonts w:eastAsia="Times New Roman" w:cs="Arial" w:ascii="Verdana" w:hAnsi="Verdana"/>
          <w:b w:val="false"/>
          <w:bCs w:val="false"/>
          <w:i w:val="false"/>
          <w:iCs w:val="false"/>
          <w:color w:val="000000"/>
          <w:sz w:val="20"/>
          <w:szCs w:val="20"/>
        </w:rPr>
        <w:t xml:space="preserve">7.9.3. </w:t>
      </w:r>
      <w:r>
        <w:rPr>
          <w:rFonts w:cs="Arial" w:ascii="Verdana" w:hAnsi="Verdana"/>
          <w:b w:val="false"/>
          <w:bCs w:val="false"/>
          <w:i w:val="false"/>
          <w:iCs w:val="false"/>
          <w:color w:val="000000"/>
          <w:sz w:val="20"/>
          <w:szCs w:val="20"/>
        </w:rPr>
        <w:t>A nota fiscal deverá ser acompanhada pelas Certidões de Regularidades Fiscais, exigidos para a habilitação no procedimento licitatório.</w:t>
      </w:r>
      <w:r>
        <w:rPr>
          <w:rFonts w:ascii="Verdana" w:hAnsi="Verdana"/>
          <w:sz w:val="20"/>
          <w:szCs w:val="20"/>
        </w:rPr>
        <w:br/>
      </w:r>
      <w:r>
        <w:rPr>
          <w:rFonts w:ascii="Verdana" w:hAnsi="Verdana"/>
          <w:b w:val="false"/>
          <w:bCs w:val="false"/>
          <w:sz w:val="20"/>
          <w:szCs w:val="20"/>
        </w:rPr>
        <w:t>7</w:t>
      </w:r>
      <w:r>
        <w:rPr>
          <w:rFonts w:eastAsia="Times New Roman" w:cs="Arial" w:ascii="Verdana" w:hAnsi="Verdana"/>
          <w:b w:val="false"/>
          <w:bCs w:val="false"/>
          <w:i w:val="false"/>
          <w:iCs w:val="false"/>
          <w:color w:val="000000"/>
          <w:sz w:val="20"/>
          <w:szCs w:val="20"/>
        </w:rPr>
        <w:t xml:space="preserve">.9.4. </w:t>
      </w:r>
      <w:r>
        <w:rPr>
          <w:rFonts w:cs="Arial" w:ascii="Verdana" w:hAnsi="Verdana"/>
          <w:b w:val="false"/>
          <w:bCs w:val="false"/>
          <w:i w:val="false"/>
          <w:iCs w:val="false"/>
          <w:color w:val="000000"/>
          <w:sz w:val="20"/>
          <w:szCs w:val="20"/>
        </w:rPr>
        <w:t xml:space="preserve">Substituir quaisquer </w:t>
      </w:r>
      <w:r>
        <w:rPr>
          <w:rFonts w:eastAsia="Times New Roman" w:cs="Arial" w:ascii="Verdana" w:hAnsi="Verdana"/>
          <w:b w:val="false"/>
          <w:bCs w:val="false"/>
          <w:i w:val="false"/>
          <w:iCs w:val="false"/>
          <w:color w:val="000000"/>
          <w:sz w:val="20"/>
          <w:szCs w:val="20"/>
        </w:rPr>
        <w:t xml:space="preserve">item </w:t>
      </w:r>
      <w:r>
        <w:rPr>
          <w:rFonts w:cs="Arial" w:ascii="Verdana" w:hAnsi="Verdana"/>
          <w:b w:val="false"/>
          <w:bCs w:val="false"/>
          <w:i w:val="false"/>
          <w:iCs w:val="false"/>
          <w:color w:val="000000"/>
          <w:sz w:val="20"/>
          <w:szCs w:val="20"/>
        </w:rPr>
        <w:t xml:space="preserve">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ind w:hanging="0" w:left="0" w:right="0"/>
        <w:jc w:val="both"/>
        <w:rPr/>
      </w:pPr>
      <w:r>
        <w:rPr>
          <w:rFonts w:cs="Arial" w:ascii="Verdana" w:hAnsi="Verdana"/>
          <w:b w:val="false"/>
          <w:bCs w:val="false"/>
          <w:i w:val="false"/>
          <w:iCs w:val="false"/>
          <w:color w:val="000000"/>
          <w:sz w:val="20"/>
          <w:szCs w:val="20"/>
        </w:rPr>
        <w:t>7.9.5.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pPr>
        <w:pStyle w:val="Normal"/>
        <w:tabs>
          <w:tab w:val="clear" w:pos="708"/>
          <w:tab w:val="left" w:pos="0" w:leader="none"/>
        </w:tabs>
        <w:spacing w:lineRule="auto" w:line="240" w:before="0" w:after="0"/>
        <w:ind w:hanging="0" w:left="0" w:right="0"/>
        <w:jc w:val="both"/>
        <w:rPr>
          <w:rFonts w:ascii="Verdana" w:hAnsi="Verdana" w:cs="Arial"/>
          <w:b/>
          <w:sz w:val="20"/>
          <w:szCs w:val="20"/>
          <w:u w:val="single"/>
        </w:rPr>
      </w:pPr>
      <w:r>
        <w:rPr>
          <w:rFonts w:cs="Arial" w:ascii="Verdana" w:hAnsi="Verdana"/>
          <w:b/>
          <w:sz w:val="20"/>
          <w:szCs w:val="20"/>
          <w:u w:val="single"/>
        </w:rPr>
      </w:r>
      <w:bookmarkStart w:id="9" w:name="page68R_mcid201"/>
      <w:bookmarkStart w:id="10" w:name="page68R_mcid20"/>
      <w:bookmarkStart w:id="11" w:name="page68R_mcid201"/>
      <w:bookmarkStart w:id="12" w:name="page68R_mcid20"/>
      <w:bookmarkEnd w:id="11"/>
      <w:bookmarkEnd w:id="12"/>
    </w:p>
    <w:p>
      <w:pPr>
        <w:pStyle w:val="Normal"/>
        <w:spacing w:lineRule="auto" w:line="240"/>
        <w:ind w:hanging="0" w:left="0" w:right="0"/>
        <w:jc w:val="both"/>
        <w:rPr/>
      </w:pPr>
      <w:bookmarkStart w:id="13" w:name="page70R_mcid10"/>
      <w:bookmarkStart w:id="14" w:name="_GoBack111"/>
      <w:bookmarkEnd w:id="13"/>
      <w:bookmarkEnd w:id="14"/>
      <w:r>
        <w:rPr>
          <w:rFonts w:cs="Arial" w:ascii="Verdana" w:hAnsi="Verdana"/>
          <w:b/>
          <w:bCs/>
          <w:i w:val="false"/>
          <w:iCs w:val="false"/>
          <w:color w:val="000000"/>
          <w:sz w:val="20"/>
          <w:szCs w:val="20"/>
        </w:rPr>
        <w:t>8. DO CONTROLE E FISCALIZAÇÃO DA EXECUÇÃO</w:t>
      </w:r>
    </w:p>
    <w:p>
      <w:pPr>
        <w:pStyle w:val="Normal"/>
        <w:spacing w:lineRule="auto" w:line="240"/>
        <w:ind w:hanging="0" w:left="0" w:right="0"/>
        <w:jc w:val="both"/>
        <w:rPr/>
      </w:pPr>
      <w:r>
        <w:rPr>
          <w:rFonts w:cs="Arial" w:ascii="Verdana" w:hAnsi="Verdana"/>
          <w:b w:val="false"/>
          <w:bCs w:val="false"/>
          <w:i w:val="false"/>
          <w:iCs w:val="false"/>
          <w:color w:val="000000"/>
          <w:sz w:val="20"/>
          <w:szCs w:val="20"/>
        </w:rPr>
        <w:t>8.1.</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Será designado representante para acompanhar e fiscalizar a entrega d</w:t>
      </w:r>
      <w:r>
        <w:rPr>
          <w:rFonts w:eastAsia="Times New Roman" w:cs="Arial" w:ascii="Verdana" w:hAnsi="Verdana"/>
          <w:b w:val="false"/>
          <w:bCs w:val="false"/>
          <w:i w:val="false"/>
          <w:iCs w:val="false"/>
          <w:color w:val="000000"/>
          <w:sz w:val="20"/>
          <w:szCs w:val="20"/>
        </w:rPr>
        <w:t>os gêneros alimentícios</w:t>
      </w:r>
      <w:r>
        <w:rPr>
          <w:rFonts w:cs="Arial" w:ascii="Verdana" w:hAnsi="Verdana"/>
          <w:b w:val="false"/>
          <w:bCs w:val="false"/>
          <w:i w:val="false"/>
          <w:iCs w:val="false"/>
          <w:color w:val="000000"/>
          <w:sz w:val="20"/>
          <w:szCs w:val="20"/>
        </w:rPr>
        <w:t xml:space="preserve"> anotando em registro próprio todas as ocorrências relacionadas com a execução e determinando o que for necessário à regularização de falhas ou defeitos observados.</w:t>
      </w:r>
    </w:p>
    <w:p>
      <w:pPr>
        <w:pStyle w:val="Normal"/>
        <w:spacing w:lineRule="auto" w:line="240"/>
        <w:ind w:hanging="0" w:left="0" w:right="0"/>
        <w:jc w:val="both"/>
        <w:rPr/>
      </w:pPr>
      <w:r>
        <w:rPr>
          <w:rFonts w:cs="Arial" w:ascii="Verdana" w:hAnsi="Verdana"/>
          <w:b w:val="false"/>
          <w:bCs w:val="false"/>
          <w:i w:val="false"/>
          <w:iCs w:val="false"/>
          <w:color w:val="000000"/>
          <w:sz w:val="20"/>
          <w:szCs w:val="20"/>
        </w:rPr>
        <w:t>8.2.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40"/>
        <w:ind w:hanging="0" w:left="0" w:right="0"/>
        <w:jc w:val="both"/>
        <w:rPr/>
      </w:pPr>
      <w:r>
        <w:rPr>
          <w:rFonts w:cs="Arial" w:ascii="Verdana" w:hAnsi="Verdana"/>
          <w:b w:val="false"/>
          <w:bCs w:val="false"/>
          <w:i w:val="false"/>
          <w:iCs w:val="false"/>
          <w:color w:val="000000"/>
          <w:sz w:val="20"/>
          <w:szCs w:val="20"/>
        </w:rPr>
        <w:t>8.3.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sz w:val="20"/>
          <w:szCs w:val="20"/>
        </w:rPr>
        <w:br/>
      </w:r>
      <w:r>
        <w:rPr>
          <w:rFonts w:cs="Arial" w:ascii="Verdana" w:hAnsi="Verdana"/>
          <w:b w:val="false"/>
          <w:bCs w:val="false"/>
          <w:i w:val="false"/>
          <w:iCs w:val="false"/>
          <w:color w:val="000000"/>
          <w:sz w:val="20"/>
          <w:szCs w:val="20"/>
        </w:rPr>
        <w:t xml:space="preserve">for necessário à regularização das falhas ou </w:t>
      </w:r>
      <w:r>
        <w:rPr>
          <w:rFonts w:ascii="Verdana" w:hAnsi="Verdana"/>
          <w:sz w:val="20"/>
          <w:szCs w:val="20"/>
        </w:rPr>
        <w:t>defeitos observados e encaminhando os apontamentos à autoridade competente para as providências cabíveis.</w:t>
      </w:r>
    </w:p>
    <w:p>
      <w:pPr>
        <w:pStyle w:val="Normal"/>
        <w:spacing w:lineRule="auto" w:line="240"/>
        <w:ind w:hanging="0" w:left="0" w:right="0"/>
        <w:jc w:val="both"/>
        <w:rPr/>
      </w:pPr>
      <w:r>
        <w:rPr>
          <w:rFonts w:ascii="Verdana" w:hAnsi="Verdana"/>
          <w:sz w:val="20"/>
          <w:szCs w:val="20"/>
        </w:rPr>
        <w:t>8.4. No caso de interrupção das entregas, por parte da contratada, o gestor do contrato tomará as providências cabíveis, de acordo com as cláusulas do edital e do contrato.</w:t>
      </w:r>
    </w:p>
    <w:p>
      <w:pPr>
        <w:pStyle w:val="Normal"/>
        <w:spacing w:lineRule="auto" w:line="240"/>
        <w:ind w:hanging="0" w:left="0" w:right="0"/>
        <w:jc w:val="both"/>
        <w:rPr>
          <w:rFonts w:ascii="Verdana" w:hAnsi="Verdana" w:cs="Arial"/>
          <w:b/>
          <w:sz w:val="20"/>
          <w:szCs w:val="20"/>
          <w:u w:val="none"/>
        </w:rPr>
      </w:pPr>
      <w:r>
        <w:rPr>
          <w:rFonts w:cs="Arial" w:ascii="Verdana" w:hAnsi="Verdana"/>
          <w:b/>
          <w:sz w:val="20"/>
          <w:szCs w:val="20"/>
          <w:u w:val="none"/>
        </w:rPr>
      </w:r>
    </w:p>
    <w:p>
      <w:pPr>
        <w:pStyle w:val="Normal"/>
        <w:tabs>
          <w:tab w:val="clear" w:pos="708"/>
          <w:tab w:val="left" w:pos="0" w:leader="none"/>
        </w:tabs>
        <w:spacing w:lineRule="auto" w:line="240" w:before="0" w:after="0"/>
        <w:ind w:hanging="0" w:left="0" w:right="0"/>
        <w:rPr/>
      </w:pPr>
      <w:r>
        <w:rPr>
          <w:rFonts w:cs="Arial" w:ascii="Verdana" w:hAnsi="Verdana"/>
          <w:b/>
          <w:bCs/>
          <w:sz w:val="20"/>
          <w:szCs w:val="20"/>
          <w:u w:val="none"/>
        </w:rPr>
        <w:t>9. RESULTADOS PRETENDIDOS</w:t>
      </w:r>
    </w:p>
    <w:p>
      <w:pPr>
        <w:pStyle w:val="Normal"/>
        <w:spacing w:lineRule="auto" w:line="240"/>
        <w:jc w:val="both"/>
        <w:rPr/>
      </w:pPr>
      <w:r>
        <w:rPr>
          <w:rFonts w:cs="Arial" w:ascii="Verdana" w:hAnsi="Verdana"/>
          <w:b w:val="false"/>
          <w:bCs w:val="false"/>
          <w:sz w:val="20"/>
          <w:szCs w:val="20"/>
          <w:u w:val="none"/>
        </w:rPr>
        <w:t xml:space="preserve">9.1. </w:t>
      </w:r>
      <w:r>
        <w:rPr>
          <w:rFonts w:eastAsia="Times New Roman" w:cs="Arial" w:ascii="Verdana" w:hAnsi="Verdana"/>
          <w:b w:val="false"/>
          <w:bCs w:val="false"/>
          <w:color w:val="auto"/>
          <w:kern w:val="0"/>
          <w:sz w:val="20"/>
          <w:szCs w:val="20"/>
          <w:u w:val="none"/>
          <w:lang w:val="pt-BR" w:eastAsia="pt-BR" w:bidi="ar-SA"/>
        </w:rPr>
        <w:t>Com a contratação, buscamos suprir as necessidades das Escolas Municipais através do Programa Nacional de Alimentação Escolar, a fim de mantermos os 200 dias letivos com fornecimento de gêneros alimentícios de qualidade, fornecendo alimentação adequada aos alunos durante o período de aula.</w:t>
      </w:r>
    </w:p>
    <w:p>
      <w:pPr>
        <w:pStyle w:val="Normal"/>
        <w:spacing w:lineRule="auto" w:line="240"/>
        <w:jc w:val="both"/>
        <w:rPr>
          <w:rFonts w:ascii="Verdana" w:hAnsi="Verdana" w:cs="Arial"/>
          <w:b/>
          <w:sz w:val="20"/>
          <w:szCs w:val="20"/>
          <w:highlight w:val="none"/>
          <w:u w:val="none"/>
          <w:shd w:fill="auto" w:val="clear"/>
        </w:rPr>
      </w:pPr>
      <w:r>
        <w:rPr>
          <w:rFonts w:cs="Arial" w:ascii="Verdana" w:hAnsi="Verdana"/>
          <w:b/>
          <w:sz w:val="20"/>
          <w:szCs w:val="20"/>
          <w:u w:val="none"/>
          <w:shd w:fill="auto" w:val="clear"/>
        </w:rPr>
      </w:r>
    </w:p>
    <w:p>
      <w:pPr>
        <w:pStyle w:val="Normal"/>
        <w:spacing w:lineRule="auto" w:line="240"/>
        <w:jc w:val="both"/>
        <w:rPr/>
      </w:pPr>
      <w:r>
        <w:rPr>
          <w:rFonts w:cs="Arial" w:ascii="Verdana" w:hAnsi="Verdana"/>
          <w:b/>
          <w:bCs/>
          <w:sz w:val="20"/>
          <w:szCs w:val="20"/>
          <w:u w:val="none"/>
          <w:shd w:fill="auto" w:val="clear"/>
        </w:rPr>
        <w:t>10. REGULARIDADE FISCAL E TRABALHISTA</w:t>
      </w:r>
    </w:p>
    <w:p>
      <w:pPr>
        <w:pStyle w:val="Normal"/>
        <w:spacing w:lineRule="auto" w:line="240"/>
        <w:jc w:val="both"/>
        <w:rPr/>
      </w:pPr>
      <w:r>
        <w:rPr>
          <w:rFonts w:eastAsia="Times New Roman" w:cs="Arial" w:ascii="Verdana" w:hAnsi="Verdana"/>
          <w:b w:val="false"/>
          <w:bCs w:val="false"/>
          <w:sz w:val="20"/>
          <w:szCs w:val="20"/>
          <w:u w:val="none"/>
          <w:shd w:fill="auto" w:val="clear"/>
        </w:rPr>
        <w:t xml:space="preserve">10.1. </w:t>
      </w:r>
      <w:r>
        <w:rPr>
          <w:rFonts w:cs="Arial" w:ascii="Verdana" w:hAnsi="Verdana"/>
          <w:b w:val="false"/>
          <w:bCs w:val="false"/>
          <w:sz w:val="20"/>
          <w:szCs w:val="20"/>
          <w:u w:val="none"/>
          <w:shd w:fill="auto" w:val="clear"/>
        </w:rPr>
        <w:t xml:space="preserve">Cópia de inscrição no Cadastro de Pessoas </w:t>
      </w:r>
      <w:r>
        <w:rPr>
          <w:rFonts w:eastAsia="Times New Roman" w:cs="Arial" w:ascii="Verdana" w:hAnsi="Verdana"/>
          <w:b w:val="false"/>
          <w:bCs w:val="false"/>
          <w:sz w:val="20"/>
          <w:szCs w:val="20"/>
          <w:u w:val="none"/>
          <w:shd w:fill="auto" w:val="clear"/>
        </w:rPr>
        <w:t>Jurídicas – CNPJ.</w:t>
      </w:r>
    </w:p>
    <w:p>
      <w:pPr>
        <w:pStyle w:val="Normal"/>
        <w:spacing w:lineRule="auto" w:line="240"/>
        <w:jc w:val="both"/>
        <w:rPr/>
      </w:pPr>
      <w:r>
        <w:rPr>
          <w:rFonts w:eastAsia="Times New Roman" w:cs="Arial" w:ascii="Verdana" w:hAnsi="Verdana"/>
          <w:b w:val="false"/>
          <w:bCs w:val="false"/>
          <w:sz w:val="20"/>
          <w:szCs w:val="20"/>
          <w:u w:val="none"/>
          <w:shd w:fill="auto" w:val="clear"/>
        </w:rPr>
        <w:t xml:space="preserve">10.2. </w:t>
      </w:r>
      <w:r>
        <w:rPr>
          <w:rFonts w:cs="Arial" w:ascii="Verdana" w:hAnsi="Verdana"/>
          <w:b w:val="false"/>
          <w:bCs w:val="false"/>
          <w:sz w:val="20"/>
          <w:szCs w:val="20"/>
          <w:u w:val="none"/>
          <w:shd w:fill="auto" w:val="clear"/>
        </w:rPr>
        <w:t xml:space="preserve">Prova de regularidade com a Fazenda Pública Federal, referente à Certidão de Débitos relativos a Créditos Tributários Federais e à Dívida Ativa da União, que poderá ser solicitada no site http://receita.economia.gov.br; </w:t>
      </w:r>
    </w:p>
    <w:p>
      <w:pPr>
        <w:pStyle w:val="Normal"/>
        <w:spacing w:lineRule="auto" w:line="240"/>
        <w:jc w:val="both"/>
        <w:rPr/>
      </w:pPr>
      <w:r>
        <w:rPr>
          <w:rFonts w:eastAsia="Times New Roman" w:cs="Arial" w:ascii="Verdana" w:hAnsi="Verdana"/>
          <w:b w:val="false"/>
          <w:bCs w:val="false"/>
          <w:sz w:val="20"/>
          <w:szCs w:val="20"/>
          <w:u w:val="none"/>
          <w:shd w:fill="auto" w:val="clear"/>
        </w:rPr>
        <w:t>10.3.</w:t>
      </w:r>
      <w:r>
        <w:rPr>
          <w:rFonts w:cs="Arial" w:ascii="Verdana" w:hAnsi="Verdana"/>
          <w:b w:val="false"/>
          <w:bCs w:val="false"/>
          <w:sz w:val="20"/>
          <w:szCs w:val="20"/>
          <w:u w:val="none"/>
          <w:shd w:fill="auto" w:val="clear"/>
        </w:rPr>
        <w:t xml:space="preserve">Prova de regularidade com a Fazenda Estadual, que poderá ser solicitada no site </w:t>
      </w:r>
      <w:hyperlink r:id="rId2">
        <w:r>
          <w:rPr>
            <w:rStyle w:val="ListLabel28"/>
            <w:rFonts w:cs="Arial" w:ascii="Verdana" w:hAnsi="Verdana"/>
            <w:b w:val="false"/>
            <w:bCs w:val="false"/>
            <w:color w:val="000000"/>
            <w:sz w:val="20"/>
            <w:szCs w:val="20"/>
            <w:u w:val="none"/>
            <w:shd w:fill="auto" w:val="clear"/>
          </w:rPr>
          <w:t>https://internet.sefaz.es.gov.br</w:t>
        </w:r>
      </w:hyperlink>
      <w:r>
        <w:rPr>
          <w:rFonts w:cs="Arial" w:ascii="Verdana" w:hAnsi="Verdana"/>
          <w:b w:val="false"/>
          <w:bCs w:val="false"/>
          <w:color w:val="000000"/>
          <w:sz w:val="20"/>
          <w:szCs w:val="20"/>
          <w:u w:val="none"/>
          <w:shd w:fill="auto" w:val="clear"/>
        </w:rPr>
        <w:t>;</w:t>
      </w:r>
    </w:p>
    <w:p>
      <w:pPr>
        <w:pStyle w:val="Normal"/>
        <w:spacing w:lineRule="auto" w:line="240"/>
        <w:jc w:val="both"/>
        <w:rPr/>
      </w:pPr>
      <w:r>
        <w:rPr>
          <w:rFonts w:eastAsia="Times New Roman" w:cs="Arial" w:ascii="Verdana" w:hAnsi="Verdana"/>
          <w:b w:val="false"/>
          <w:bCs w:val="false"/>
          <w:sz w:val="20"/>
          <w:szCs w:val="20"/>
          <w:u w:val="none"/>
          <w:shd w:fill="auto" w:val="clear"/>
        </w:rPr>
        <w:t xml:space="preserve">10.4. </w:t>
      </w:r>
      <w:r>
        <w:rPr>
          <w:rFonts w:cs="Arial" w:ascii="Verdana" w:hAnsi="Verdana"/>
          <w:b w:val="false"/>
          <w:bCs w:val="false"/>
          <w:sz w:val="20"/>
          <w:szCs w:val="20"/>
          <w:u w:val="none"/>
          <w:shd w:fill="auto" w:val="clear"/>
        </w:rPr>
        <w:t xml:space="preserve"> Prova de regularidade com a Fazenda Pública Municipal referente ao domicílio do interessado.</w:t>
      </w:r>
    </w:p>
    <w:p>
      <w:pPr>
        <w:pStyle w:val="Normal"/>
        <w:spacing w:lineRule="auto" w:line="240"/>
        <w:jc w:val="both"/>
        <w:rPr/>
      </w:pPr>
      <w:r>
        <w:rPr>
          <w:rFonts w:eastAsia="Times New Roman" w:cs="Arial" w:ascii="Verdana" w:hAnsi="Verdana"/>
          <w:b w:val="false"/>
          <w:bCs w:val="false"/>
          <w:sz w:val="20"/>
          <w:szCs w:val="20"/>
          <w:u w:val="none"/>
          <w:shd w:fill="auto" w:val="clear"/>
        </w:rPr>
        <w:t xml:space="preserve">10.5. </w:t>
      </w:r>
      <w:r>
        <w:rPr>
          <w:rFonts w:cs="Arial" w:ascii="Verdana" w:hAnsi="Verdana"/>
          <w:b w:val="false"/>
          <w:bCs w:val="false"/>
          <w:sz w:val="20"/>
          <w:szCs w:val="20"/>
          <w:u w:val="none"/>
          <w:shd w:fill="auto" w:val="clear"/>
        </w:rPr>
        <w:t>Prova de inexistência de débitos inadimplidos perante a Justiça do Trabalho, mediante a apresentação de certidão negativa, nos termos do Título VII-A da Con</w:t>
      </w:r>
      <w:r>
        <w:rPr>
          <w:rFonts w:cs="Arial" w:ascii="Verdana" w:hAnsi="Verdana"/>
          <w:sz w:val="20"/>
          <w:szCs w:val="20"/>
          <w:u w:val="none"/>
          <w:shd w:fill="auto" w:val="clear"/>
        </w:rPr>
        <w:t xml:space="preserve">solidação das Leis do Trabalho, aprovada pelo Decreto-Lei n.º 5.452, de 1º de maio de 1943, que poderá ser retirada no site </w:t>
      </w:r>
      <w:hyperlink r:id="rId3">
        <w:r>
          <w:rPr>
            <w:rStyle w:val="ListLabel29"/>
            <w:rFonts w:cs="Arial" w:ascii="Verdana" w:hAnsi="Verdana"/>
            <w:color w:val="000080"/>
            <w:sz w:val="20"/>
            <w:szCs w:val="20"/>
            <w:u w:val="none"/>
            <w:shd w:fill="auto" w:val="clear"/>
          </w:rPr>
          <w:t>http://www.tst.jus.br</w:t>
        </w:r>
      </w:hyperlink>
      <w:r>
        <w:rPr>
          <w:rFonts w:cs="Arial" w:ascii="Verdana" w:hAnsi="Verdana"/>
          <w:sz w:val="20"/>
          <w:szCs w:val="20"/>
          <w:u w:val="none"/>
          <w:shd w:fill="auto" w:val="clear"/>
        </w:rPr>
        <w:t>.</w:t>
      </w:r>
    </w:p>
    <w:p>
      <w:pPr>
        <w:pStyle w:val="Normal"/>
        <w:spacing w:lineRule="auto" w:line="240"/>
        <w:jc w:val="both"/>
        <w:rPr>
          <w:rFonts w:ascii="Verdana" w:hAnsi="Verdana" w:cs="Arial"/>
          <w:b/>
          <w:sz w:val="20"/>
          <w:szCs w:val="20"/>
          <w:highlight w:val="none"/>
          <w:u w:val="none"/>
          <w:shd w:fill="auto" w:val="clear"/>
        </w:rPr>
      </w:pPr>
      <w:r>
        <w:rPr>
          <w:rFonts w:cs="Arial" w:ascii="Verdana" w:hAnsi="Verdana"/>
          <w:b/>
          <w:sz w:val="20"/>
          <w:szCs w:val="20"/>
          <w:u w:val="none"/>
          <w:shd w:fill="auto" w:val="clear"/>
        </w:rPr>
      </w:r>
    </w:p>
    <w:p>
      <w:pPr>
        <w:pStyle w:val="Normal"/>
        <w:spacing w:lineRule="auto" w:line="240"/>
        <w:jc w:val="both"/>
        <w:rPr/>
      </w:pPr>
      <w:r>
        <w:rPr>
          <w:rFonts w:cs="Arial" w:ascii="Verdana" w:hAnsi="Verdana"/>
          <w:b/>
          <w:bCs/>
          <w:sz w:val="20"/>
          <w:szCs w:val="20"/>
          <w:u w:val="none"/>
        </w:rPr>
        <w:t>11. DAS SANÇÕES ADMINISTRATIVAS</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 Comete infração administrativa o fornecedor/prestador de serviço que cometer quaisquer das infrações previstas no art. 155 da Lei nº 14.133, de 2021, quais sejam:</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 Dar causa à inexecução parcial do contrato.</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.1.2. Dar causa à inexecução parcial que cause grave dano à Administração, ao funcionamento dos serviços públicos ou ao interesse coletivo.</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.1.3. Dar causa à inexecução total;</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.1.4. Deixar de entregar a documentação exigida para o certame.</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.1.5. Não manter a proposta, salvo em decorrência de fato superveniente devidamente justificado.</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 xml:space="preserve">.1.6. Não celebrar o contrato ou não entregar a documentação exigida para a contratação, quando convocado dentro do prazo de validade de sua proposta. </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.1.7. Ensejar o retardamento da execução ou da entrega do objeto sem motivo justificado,</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.1.8. Apresentar declaração ou documentação falsa exigida para o certame ou prestar declaração falsa durante a dispensa eletrônica ou a execução do objeto.</w:t>
      </w:r>
    </w:p>
    <w:p>
      <w:pPr>
        <w:pStyle w:val="Normal"/>
        <w:spacing w:lineRule="auto" w:line="240"/>
        <w:ind w:hanging="0" w:left="0" w:right="0"/>
        <w:jc w:val="both"/>
        <w:rPr/>
      </w:pPr>
      <w:r>
        <w:rPr>
          <w:rFonts w:ascii="Verdana" w:hAnsi="Verdana"/>
          <w:b w:val="false"/>
          <w:bCs w:val="false"/>
          <w:iCs/>
          <w:sz w:val="20"/>
          <w:szCs w:val="20"/>
          <w:u w:val="none"/>
        </w:rPr>
        <w:t>11.1.9. Fraudar a dispensa eletrônica ou praticar ato fraudulento na execução do objeto.</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.1.10. Comportar-se de modo inidôneo ou cometer fraude de qualquer natureza.</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.1.11. Praticar atos ilícitos com vistas a frustrar os objetivos deste certame.</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.1.12. Praticar ato lesivo previsto no art. 5º da Lei nº 12.846, de 1º de agosto de 2013.</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11.1.13.</w:t>
      </w:r>
      <w:r>
        <w:rPr>
          <w:rFonts w:ascii="Verdana" w:hAnsi="Verdana"/>
          <w:b w:val="false"/>
          <w:bCs w:val="false"/>
          <w:iCs/>
          <w:sz w:val="20"/>
          <w:szCs w:val="20"/>
          <w:u w:val="none"/>
        </w:rPr>
        <w:t xml:space="preserve"> O fornecedor que cometer qualquer das infrações discriminadas nos subitens anteriores ficará sujeito, sem prejuízo da responsabilidade civil e criminal, às seguintes sanções:</w:t>
      </w:r>
    </w:p>
    <w:p>
      <w:pPr>
        <w:pStyle w:val="Normal"/>
        <w:spacing w:lineRule="auto" w:line="240"/>
        <w:ind w:hanging="0" w:left="0" w:right="0"/>
        <w:jc w:val="both"/>
        <w:rPr/>
      </w:pPr>
      <w:r>
        <w:rPr>
          <w:rFonts w:ascii="Verdana" w:hAnsi="Verdana"/>
          <w:b w:val="false"/>
          <w:bCs w:val="false"/>
          <w:iCs/>
          <w:sz w:val="20"/>
          <w:szCs w:val="20"/>
          <w:u w:val="none"/>
        </w:rPr>
        <w:t xml:space="preserve">         </w:t>
      </w:r>
      <w:r>
        <w:rPr>
          <w:rFonts w:ascii="Verdana" w:hAnsi="Verdana"/>
          <w:b w:val="false"/>
          <w:bCs w:val="false"/>
          <w:iCs/>
          <w:sz w:val="20"/>
          <w:szCs w:val="20"/>
          <w:u w:val="none"/>
        </w:rPr>
        <w:t>a) Advertência pela falta do subitem 11.1.1 deste Termo de Referência, quando não se justificar a imposição de penalidade mais grave.</w:t>
      </w:r>
    </w:p>
    <w:p>
      <w:pPr>
        <w:pStyle w:val="Normal"/>
        <w:spacing w:lineRule="auto" w:line="240"/>
        <w:ind w:hanging="0" w:left="-57" w:right="0"/>
        <w:jc w:val="both"/>
        <w:rPr/>
      </w:pPr>
      <w:r>
        <w:rPr>
          <w:rFonts w:ascii="Verdana" w:hAnsi="Verdana"/>
          <w:b w:val="false"/>
          <w:bCs w:val="false"/>
          <w:iCs/>
          <w:sz w:val="20"/>
          <w:szCs w:val="20"/>
          <w:u w:val="none"/>
        </w:rPr>
        <w:t xml:space="preserve">            </w:t>
      </w:r>
      <w:r>
        <w:rPr>
          <w:rFonts w:ascii="Verdana" w:hAnsi="Verdana"/>
          <w:b w:val="false"/>
          <w:bCs w:val="false"/>
          <w:iCs/>
          <w:sz w:val="20"/>
          <w:szCs w:val="20"/>
          <w:u w:val="none"/>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 xml:space="preserve">.1.7 e 20% (vinte por cento), se cometidas infrações previstas nos itens 11.1.8 a 11.1.12; </w:t>
      </w:r>
    </w:p>
    <w:p>
      <w:pPr>
        <w:pStyle w:val="Normal"/>
        <w:spacing w:lineRule="auto" w:line="240"/>
        <w:ind w:hanging="0" w:left="-57" w:right="0"/>
        <w:jc w:val="both"/>
        <w:rPr/>
      </w:pPr>
      <w:r>
        <w:rPr>
          <w:rFonts w:ascii="Verdana" w:hAnsi="Verdana"/>
          <w:b w:val="false"/>
          <w:bCs w:val="false"/>
          <w:iCs/>
          <w:sz w:val="20"/>
          <w:szCs w:val="20"/>
          <w:u w:val="none"/>
        </w:rPr>
        <w:tab/>
        <w:tab/>
        <w:t xml:space="preserve"> b.1) O valor da multa poderá ser descontado das faturas devidas à CONTRATADA;</w:t>
      </w:r>
    </w:p>
    <w:p>
      <w:pPr>
        <w:pStyle w:val="Normal"/>
        <w:spacing w:lineRule="auto" w:line="240"/>
        <w:ind w:hanging="0" w:left="0" w:right="0"/>
        <w:jc w:val="both"/>
        <w:rPr/>
      </w:pPr>
      <w:r>
        <w:rPr>
          <w:rFonts w:ascii="Verdana" w:hAnsi="Verdana"/>
          <w:b w:val="false"/>
          <w:bCs w:val="false"/>
          <w:iCs/>
          <w:sz w:val="20"/>
          <w:szCs w:val="20"/>
          <w:u w:val="none"/>
        </w:rPr>
        <w:tab/>
        <w:t xml:space="preserve"> b.2) A multa pode ser aplicada isoladamente ou juntamente com as penali</w:t>
      </w:r>
      <w:r>
        <w:rPr>
          <w:rFonts w:ascii="Verdana" w:hAnsi="Verdana"/>
          <w:iCs/>
          <w:sz w:val="20"/>
          <w:szCs w:val="20"/>
          <w:u w:val="none"/>
        </w:rPr>
        <w:t xml:space="preserve">dades definidas nos itens “c” e “d” abaixo: </w:t>
      </w:r>
    </w:p>
    <w:p>
      <w:pPr>
        <w:pStyle w:val="Normal"/>
        <w:spacing w:lineRule="auto" w:line="240"/>
        <w:ind w:hanging="0" w:left="0" w:right="0"/>
        <w:jc w:val="both"/>
        <w:rPr/>
      </w:pPr>
      <w:r>
        <w:rPr>
          <w:rFonts w:ascii="Verdana" w:hAnsi="Verdana"/>
          <w:iCs/>
          <w:sz w:val="20"/>
          <w:szCs w:val="20"/>
          <w:u w:val="none"/>
        </w:rPr>
        <w:t xml:space="preserve">         </w:t>
      </w:r>
      <w:r>
        <w:rPr>
          <w:rFonts w:ascii="Verdana" w:hAnsi="Verdana"/>
          <w:iCs/>
          <w:sz w:val="20"/>
          <w:szCs w:val="20"/>
          <w:u w:val="none"/>
        </w:rPr>
        <w:t>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pPr>
        <w:pStyle w:val="Normal"/>
        <w:spacing w:lineRule="auto" w:line="240"/>
        <w:ind w:hanging="0" w:left="0" w:right="0"/>
        <w:jc w:val="both"/>
        <w:rPr/>
      </w:pPr>
      <w:r>
        <w:rPr>
          <w:rFonts w:ascii="Verdana" w:hAnsi="Verdana"/>
          <w:iCs/>
          <w:sz w:val="20"/>
          <w:szCs w:val="20"/>
          <w:u w:val="none"/>
        </w:rPr>
        <w:t xml:space="preserve">         </w:t>
      </w:r>
      <w:r>
        <w:rPr>
          <w:rFonts w:ascii="Verdana" w:hAnsi="Verdana"/>
          <w:iCs/>
          <w:sz w:val="20"/>
          <w:szCs w:val="20"/>
          <w:u w:val="none"/>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.3. Na aplicação das sanções serão considerados:</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.3.1. A natureza e a gravidade da infração cometida.</w:t>
      </w:r>
    </w:p>
    <w:p>
      <w:pPr>
        <w:pStyle w:val="Normal"/>
        <w:spacing w:lineRule="auto" w:line="240"/>
        <w:ind w:hanging="0" w:left="0" w:right="0"/>
        <w:jc w:val="both"/>
        <w:rPr/>
      </w:pPr>
      <w:r>
        <w:rPr>
          <w:rFonts w:ascii="Verdana" w:hAnsi="Verdana"/>
          <w:b w:val="false"/>
          <w:bCs w:val="false"/>
          <w:iCs/>
          <w:sz w:val="20"/>
          <w:szCs w:val="20"/>
          <w:u w:val="none"/>
        </w:rPr>
        <w:t>11.3.2. As peculiaridades do caso concreto.</w:t>
      </w:r>
    </w:p>
    <w:p>
      <w:pPr>
        <w:pStyle w:val="Normal"/>
        <w:spacing w:lineRule="auto" w:line="240"/>
        <w:ind w:hanging="0" w:left="0" w:right="0"/>
        <w:jc w:val="both"/>
        <w:rPr/>
      </w:pPr>
      <w:r>
        <w:rPr>
          <w:rFonts w:ascii="Verdana" w:hAnsi="Verdana"/>
          <w:b w:val="false"/>
          <w:bCs w:val="false"/>
          <w:iCs/>
          <w:sz w:val="20"/>
          <w:szCs w:val="20"/>
          <w:u w:val="none"/>
        </w:rPr>
        <w:t>11.3.3. As circunstâncias agravantes ou atenuantes.</w:t>
      </w:r>
    </w:p>
    <w:p>
      <w:pPr>
        <w:pStyle w:val="Normal"/>
        <w:spacing w:lineRule="auto" w:line="240"/>
        <w:ind w:hanging="0" w:left="0" w:right="0"/>
        <w:jc w:val="both"/>
        <w:rPr/>
      </w:pPr>
      <w:r>
        <w:rPr>
          <w:rFonts w:ascii="Verdana" w:hAnsi="Verdana"/>
          <w:b w:val="false"/>
          <w:bCs w:val="false"/>
          <w:iCs/>
          <w:sz w:val="20"/>
          <w:szCs w:val="20"/>
          <w:u w:val="none"/>
        </w:rPr>
        <w:t>11.3.4. Os danos que dela provierem para a Administração Pública.</w:t>
      </w:r>
    </w:p>
    <w:p>
      <w:pPr>
        <w:pStyle w:val="Normal"/>
        <w:spacing w:lineRule="auto" w:line="240"/>
        <w:ind w:hanging="0" w:left="0" w:right="0"/>
        <w:jc w:val="both"/>
        <w:rPr/>
      </w:pPr>
      <w:r>
        <w:rPr>
          <w:rFonts w:eastAsia="Times New Roman" w:cs="Times New Roman" w:ascii="Verdana" w:hAnsi="Verdana"/>
          <w:b w:val="false"/>
          <w:bCs w:val="false"/>
          <w:iCs/>
          <w:color w:val="000000"/>
          <w:sz w:val="20"/>
          <w:szCs w:val="20"/>
          <w:u w:val="none"/>
        </w:rPr>
        <w:t>11</w:t>
      </w:r>
      <w:r>
        <w:rPr>
          <w:rFonts w:ascii="Verdana" w:hAnsi="Verdana"/>
          <w:b w:val="false"/>
          <w:bCs w:val="false"/>
          <w:iCs/>
          <w:sz w:val="20"/>
          <w:szCs w:val="20"/>
          <w:u w:val="none"/>
        </w:rPr>
        <w:t>.3.5. A implantação ou o aperfeiçoamento de programa de integridade, conforme normas e orientações dos órgãos de controle.</w:t>
      </w:r>
    </w:p>
    <w:p>
      <w:pPr>
        <w:pStyle w:val="Normal"/>
        <w:spacing w:lineRule="auto" w:line="240"/>
        <w:ind w:hanging="0" w:left="0" w:right="0"/>
        <w:jc w:val="both"/>
        <w:rPr/>
      </w:pPr>
      <w:r>
        <w:rPr>
          <w:rFonts w:ascii="Verdana" w:hAnsi="Verdana"/>
          <w:b w:val="false"/>
          <w:bCs w:val="false"/>
          <w:iCs/>
          <w:sz w:val="20"/>
          <w:szCs w:val="20"/>
          <w:u w:val="none"/>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hanging="0" w:left="0" w:right="0"/>
        <w:jc w:val="both"/>
        <w:rPr/>
      </w:pPr>
      <w:r>
        <w:rPr>
          <w:rFonts w:ascii="Verdana" w:hAnsi="Verdana"/>
          <w:b w:val="false"/>
          <w:bCs w:val="false"/>
          <w:iCs/>
          <w:sz w:val="20"/>
          <w:szCs w:val="20"/>
          <w:u w:val="none"/>
          <w:lang w:eastAsia="en-US"/>
        </w:rPr>
        <w:t>11.5. A aplicação de qualquer das penalidades previstas realizar-se-á em processo administrativo que assegurará o contraditório e a ampla defesa ao fornecedor/adjudicatário, observando-se o rito procedimental previsto no Capítulo I do Título IV d</w:t>
      </w:r>
      <w:r>
        <w:rPr>
          <w:rFonts w:ascii="Verdana" w:hAnsi="Verdana"/>
          <w:iCs/>
          <w:sz w:val="20"/>
          <w:szCs w:val="20"/>
          <w:u w:val="none"/>
          <w:lang w:eastAsia="en-US"/>
        </w:rPr>
        <w:t>a Lei 14.133/2021 – Das Infrações e Sanções Administrativas.</w:t>
      </w:r>
    </w:p>
    <w:p>
      <w:pPr>
        <w:pStyle w:val="Normal"/>
        <w:spacing w:lineRule="auto" w:line="240"/>
        <w:ind w:hanging="0" w:left="0" w:right="0"/>
        <w:jc w:val="both"/>
        <w:rPr>
          <w:rFonts w:ascii="Verdana" w:hAnsi="Verdana"/>
          <w:sz w:val="20"/>
          <w:szCs w:val="20"/>
        </w:rPr>
      </w:pPr>
      <w:r>
        <w:rPr>
          <w:rFonts w:ascii="Verdana" w:hAnsi="Verdana"/>
          <w:sz w:val="20"/>
          <w:szCs w:val="20"/>
        </w:rPr>
      </w:r>
    </w:p>
    <w:p>
      <w:pPr>
        <w:pStyle w:val="Normal"/>
        <w:spacing w:lineRule="auto" w:line="240"/>
        <w:ind w:hanging="0" w:left="-79" w:right="0"/>
        <w:jc w:val="both"/>
        <w:rPr/>
      </w:pPr>
      <w:r>
        <w:rPr>
          <w:rFonts w:ascii="Verdana" w:hAnsi="Verdana"/>
          <w:b/>
          <w:bCs/>
          <w:sz w:val="20"/>
          <w:szCs w:val="20"/>
          <w:u w:val="none"/>
          <w:lang w:eastAsia="en-US"/>
        </w:rPr>
        <w:t>12. DA HABILITAÇÃO</w:t>
      </w:r>
      <w:r>
        <w:rPr>
          <w:rFonts w:ascii="Verdana" w:hAnsi="Verdana"/>
          <w:sz w:val="20"/>
          <w:szCs w:val="20"/>
          <w:u w:val="none"/>
          <w:lang w:eastAsia="en-US"/>
        </w:rPr>
        <w:t xml:space="preserve"> </w:t>
      </w:r>
    </w:p>
    <w:p>
      <w:pPr>
        <w:pStyle w:val="Normal"/>
        <w:spacing w:lineRule="auto" w:line="240"/>
        <w:ind w:hanging="0" w:left="-79" w:right="0"/>
        <w:jc w:val="both"/>
        <w:rPr/>
      </w:pPr>
      <w:r>
        <w:rPr>
          <w:rFonts w:cs="Verdana" w:ascii="Verdana" w:hAnsi="Verdana"/>
          <w:b w:val="false"/>
          <w:bCs w:val="false"/>
          <w:sz w:val="20"/>
          <w:szCs w:val="20"/>
          <w:u w:val="none"/>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right="0"/>
        <w:contextualSpacing/>
        <w:jc w:val="both"/>
        <w:rPr/>
      </w:pPr>
      <w:r>
        <w:rPr>
          <w:rFonts w:cs="Verdana" w:ascii="Verdana" w:hAnsi="Verdana"/>
          <w:b w:val="false"/>
          <w:bCs w:val="false"/>
          <w:sz w:val="20"/>
          <w:szCs w:val="20"/>
          <w:u w:val="none"/>
          <w:lang w:eastAsia="ar-SA"/>
        </w:rPr>
        <w:t>a) SICAF;</w:t>
      </w:r>
    </w:p>
    <w:p>
      <w:pPr>
        <w:pStyle w:val="ListParagraph"/>
        <w:spacing w:lineRule="auto" w:line="240" w:before="57" w:after="57"/>
        <w:ind w:hanging="0" w:left="0" w:right="0"/>
        <w:contextualSpacing/>
        <w:jc w:val="both"/>
        <w:rPr/>
      </w:pPr>
      <w:r>
        <w:rPr>
          <w:rFonts w:cs="Verdana" w:ascii="Verdana" w:hAnsi="Verdana"/>
          <w:b w:val="false"/>
          <w:bCs w:val="false"/>
          <w:sz w:val="20"/>
          <w:szCs w:val="20"/>
          <w:u w:val="none"/>
          <w:lang w:eastAsia="ar-SA"/>
        </w:rPr>
        <w:t xml:space="preserve">b) Cadastro Nacional de Empresas Inidôneas e Suspensas – CEIS, mantido pela </w:t>
      </w:r>
      <w:r>
        <w:rPr>
          <w:rFonts w:cs="Verdana" w:ascii="Verdana" w:hAnsi="Verdana"/>
          <w:b w:val="false"/>
          <w:bCs w:val="false"/>
          <w:color w:val="000000"/>
          <w:sz w:val="20"/>
          <w:szCs w:val="20"/>
          <w:u w:val="none"/>
          <w:lang w:eastAsia="ar-SA"/>
        </w:rPr>
        <w:t>Controladoria-Geral da União (</w:t>
      </w:r>
      <w:hyperlink r:id="rId4">
        <w:r>
          <w:rPr>
            <w:rStyle w:val="ListLabel30"/>
            <w:rFonts w:cs="Verdana" w:ascii="Verdana" w:hAnsi="Verdana"/>
            <w:b w:val="false"/>
            <w:bCs w:val="false"/>
            <w:color w:val="000000"/>
            <w:sz w:val="20"/>
            <w:szCs w:val="20"/>
            <w:u w:val="none"/>
            <w:lang w:eastAsia="ar-SA"/>
          </w:rPr>
          <w:t>www.portaldatransparencia.gov.br/ceis</w:t>
        </w:r>
      </w:hyperlink>
      <w:r>
        <w:rPr>
          <w:rFonts w:cs="Verdana" w:ascii="Verdana" w:hAnsi="Verdana"/>
          <w:b w:val="false"/>
          <w:bCs w:val="false"/>
          <w:color w:val="000000"/>
          <w:sz w:val="20"/>
          <w:szCs w:val="20"/>
          <w:u w:val="none"/>
          <w:lang w:eastAsia="ar-SA"/>
        </w:rPr>
        <w:t>);</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lang w:eastAsia="ar-SA"/>
        </w:rPr>
        <w:t>c) Cadastro Nacional de Condenações Cíveis por Atos de Improbidade Administrativa, mantido pelo Conselho Nacional de Justiça (</w:t>
      </w:r>
      <w:hyperlink r:id="rId5">
        <w:r>
          <w:rPr>
            <w:rStyle w:val="ListLabel30"/>
            <w:rFonts w:cs="Verdana" w:ascii="Verdana" w:hAnsi="Verdana"/>
            <w:b w:val="false"/>
            <w:bCs w:val="false"/>
            <w:color w:val="000000"/>
            <w:sz w:val="20"/>
            <w:szCs w:val="20"/>
            <w:u w:val="none"/>
            <w:lang w:eastAsia="ar-SA"/>
          </w:rPr>
          <w:t>www.cnj.jus.br/improbidade_adm/consultar_requerido.php</w:t>
        </w:r>
      </w:hyperlink>
      <w:r>
        <w:rPr>
          <w:rFonts w:cs="Verdana" w:ascii="Verdana" w:hAnsi="Verdana"/>
          <w:b w:val="false"/>
          <w:bCs w:val="false"/>
          <w:color w:val="000000"/>
          <w:sz w:val="20"/>
          <w:szCs w:val="20"/>
          <w:u w:val="none"/>
          <w:lang w:eastAsia="ar-SA"/>
        </w:rPr>
        <w:t>).</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color w:val="000000"/>
          <w:sz w:val="20"/>
          <w:szCs w:val="20"/>
          <w:u w:val="none"/>
          <w:lang w:eastAsia="ar-SA"/>
        </w:rPr>
        <w:t>e) Cadastro de empresas inid</w:t>
      </w:r>
      <w:r>
        <w:rPr>
          <w:rFonts w:cs="Verdana" w:ascii="Verdana" w:hAnsi="Verdana"/>
          <w:b w:val="false"/>
          <w:bCs w:val="false"/>
          <w:color w:val="000000"/>
          <w:sz w:val="20"/>
          <w:szCs w:val="20"/>
          <w:u w:val="none"/>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31"/>
            <w:rFonts w:cs="Verdana" w:ascii="Verdana" w:hAnsi="Verdana"/>
            <w:b w:val="false"/>
            <w:bCs w:val="false"/>
            <w:color w:val="000000"/>
            <w:sz w:val="20"/>
            <w:szCs w:val="20"/>
            <w:u w:val="none"/>
          </w:rPr>
          <w:t>https://www.tcees.tc.br/portal-da-transparencia/consultas/lista-de</w:t>
        </w:r>
      </w:hyperlink>
      <w:r>
        <w:rPr>
          <w:rFonts w:cs="Verdana" w:ascii="Verdana" w:hAnsi="Verdana"/>
          <w:b w:val="false"/>
          <w:bCs w:val="false"/>
          <w:color w:val="000000"/>
          <w:sz w:val="20"/>
          <w:szCs w:val="20"/>
          <w:u w:val="none"/>
        </w:rPr>
        <w:t xml:space="preserve"> responsáveis/proibidos-de-contratar/).</w:t>
      </w:r>
    </w:p>
    <w:p>
      <w:pPr>
        <w:pStyle w:val="Normal"/>
        <w:spacing w:lineRule="auto" w:line="240" w:before="57" w:after="57"/>
        <w:jc w:val="both"/>
        <w:rPr/>
      </w:pPr>
      <w:r>
        <w:rPr>
          <w:rFonts w:cs="Verdana" w:ascii="Verdana" w:hAnsi="Verdana"/>
          <w:b w:val="false"/>
          <w:bCs w:val="false"/>
          <w:color w:val="000000"/>
          <w:sz w:val="20"/>
          <w:szCs w:val="20"/>
          <w:u w:val="none"/>
          <w:lang w:eastAsia="ar-SA"/>
        </w:rPr>
        <w:t>12.1.1. Para a consulta de licitantes pessoa jurídica poderá haver a substituição das consultas das alíneas “b”, “c” e “d” acima pela Consulta Consolidada de Pessoa Jurídica do TCU (</w:t>
      </w:r>
      <w:hyperlink r:id="rId7">
        <w:r>
          <w:rPr>
            <w:rStyle w:val="ListLabel30"/>
            <w:rFonts w:cs="Verdana" w:ascii="Verdana" w:hAnsi="Verdana"/>
            <w:b w:val="false"/>
            <w:bCs w:val="false"/>
            <w:color w:val="000000"/>
            <w:sz w:val="20"/>
            <w:szCs w:val="20"/>
            <w:u w:val="none"/>
            <w:lang w:eastAsia="ar-SA"/>
          </w:rPr>
          <w:t>https://certidoesapf.apps.tcu.gov.br/</w:t>
        </w:r>
      </w:hyperlink>
      <w:r>
        <w:rPr>
          <w:rFonts w:cs="Verdana" w:ascii="Verdana" w:hAnsi="Verdana"/>
          <w:b w:val="false"/>
          <w:bCs w:val="false"/>
          <w:color w:val="000000"/>
          <w:sz w:val="20"/>
          <w:szCs w:val="20"/>
          <w:u w:val="none"/>
          <w:lang w:eastAsia="ar-SA"/>
        </w:rPr>
        <w:t>);</w:t>
      </w:r>
    </w:p>
    <w:p>
      <w:pPr>
        <w:pStyle w:val="Normal"/>
        <w:spacing w:lineRule="auto" w:line="240" w:before="57" w:after="57"/>
        <w:jc w:val="both"/>
        <w:rPr/>
      </w:pPr>
      <w:r>
        <w:rPr>
          <w:rFonts w:cs="Verdana" w:ascii="Verdana" w:hAnsi="Verdana"/>
          <w:b w:val="false"/>
          <w:bCs w:val="false"/>
          <w:color w:val="000000"/>
          <w:sz w:val="20"/>
          <w:szCs w:val="20"/>
          <w:u w:val="none"/>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right="0"/>
        <w:contextualSpacing/>
        <w:jc w:val="both"/>
        <w:rPr/>
      </w:pPr>
      <w:r>
        <w:rPr>
          <w:rFonts w:cs="Verdana" w:ascii="Verdana" w:hAnsi="Verdana"/>
          <w:b w:val="false"/>
          <w:bCs w:val="false"/>
          <w:color w:val="000000"/>
          <w:sz w:val="20"/>
          <w:szCs w:val="20"/>
          <w:u w:val="none"/>
        </w:rPr>
        <w:t>12.1.2.1.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right="0"/>
        <w:contextualSpacing/>
        <w:jc w:val="both"/>
        <w:rPr/>
      </w:pPr>
      <w:r>
        <w:rPr>
          <w:rFonts w:cs="Verdana" w:ascii="Verdana" w:hAnsi="Verdana"/>
          <w:b w:val="false"/>
          <w:bCs w:val="false"/>
          <w:color w:val="000000"/>
          <w:sz w:val="20"/>
          <w:szCs w:val="20"/>
          <w:u w:val="none"/>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right="0"/>
        <w:contextualSpacing/>
        <w:jc w:val="both"/>
        <w:rPr/>
      </w:pPr>
      <w:r>
        <w:rPr>
          <w:rFonts w:cs="Verdana" w:ascii="Verdana" w:hAnsi="Verdana"/>
          <w:b w:val="false"/>
          <w:bCs w:val="false"/>
          <w:color w:val="000000"/>
          <w:sz w:val="20"/>
          <w:szCs w:val="20"/>
          <w:u w:val="none"/>
        </w:rPr>
        <w:t>12.1.2.3. O licitante será convocado para manifestação previamente à sua desclassificação.</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12.1.3 .Constatada a existência de sanção, o Pregoeiro reputará o licitante inabilitado, por falta de condição de participação.</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hanging="0" w:left="0" w:right="0"/>
        <w:contextualSpacing/>
        <w:jc w:val="both"/>
        <w:rPr/>
      </w:pPr>
      <w:r>
        <w:rPr>
          <w:rFonts w:cs="Verdana" w:ascii="Verdana" w:hAnsi="Verdana"/>
          <w:b w:val="false"/>
          <w:bCs w:val="false"/>
          <w:sz w:val="20"/>
          <w:szCs w:val="20"/>
          <w:u w:val="none"/>
          <w:lang w:eastAsia="ar-SA"/>
        </w:rPr>
        <w:t xml:space="preserve">12.2. </w:t>
      </w:r>
      <w:r>
        <w:rPr>
          <w:rFonts w:cs="Verdana" w:ascii="Verdana" w:hAnsi="Verdana"/>
          <w:color w:val="000000"/>
          <w:sz w:val="20"/>
          <w:szCs w:val="20"/>
          <w:u w:val="none"/>
        </w:rPr>
        <w:t xml:space="preserve">Caso atendidas as condições de participação, </w:t>
      </w:r>
      <w:r>
        <w:rPr>
          <w:rFonts w:cs="Verdana" w:ascii="Verdana" w:hAnsi="Verdana"/>
          <w:sz w:val="20"/>
          <w:szCs w:val="20"/>
          <w:u w:val="none"/>
        </w:rPr>
        <w:t>a habilitação dos licitantes será verificada por meio do SICAF, nos documentos por ele abrangidos</w:t>
      </w:r>
      <w:r>
        <w:rPr>
          <w:rFonts w:cs="Verdana" w:ascii="Verdana" w:hAnsi="Verdana"/>
          <w:sz w:val="20"/>
          <w:szCs w:val="20"/>
          <w:u w:val="none"/>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hanging="0" w:left="0" w:right="0"/>
        <w:contextualSpacing/>
        <w:jc w:val="both"/>
        <w:rPr/>
      </w:pPr>
      <w:r>
        <w:rPr>
          <w:rFonts w:cs="Verdana" w:ascii="Verdana" w:hAnsi="Verdana"/>
          <w:b w:val="false"/>
          <w:bCs w:val="false"/>
          <w:sz w:val="20"/>
          <w:szCs w:val="20"/>
          <w:u w:val="none"/>
          <w:lang w:eastAsia="ar-SA"/>
        </w:rPr>
        <w:t xml:space="preserve">12.2..1. </w:t>
      </w:r>
      <w:r>
        <w:rPr>
          <w:rFonts w:cs="Verdana" w:ascii="Verdana" w:hAnsi="Verdana"/>
          <w:sz w:val="20"/>
          <w:szCs w:val="20"/>
          <w:u w:val="none"/>
          <w:lang w:eastAsia="ar-SA"/>
        </w:rPr>
        <w:t xml:space="preserve">O interessado, para efeitos de habilitação prevista na Instrução Normativa </w:t>
      </w:r>
      <w:r>
        <w:rPr>
          <w:rFonts w:cs="Verdana" w:ascii="Verdana" w:hAnsi="Verdana"/>
          <w:b w:val="false"/>
          <w:bCs w:val="false"/>
          <w:sz w:val="20"/>
          <w:szCs w:val="20"/>
          <w:u w:val="none"/>
          <w:lang w:eastAsia="ar-SA"/>
        </w:rPr>
        <w:t>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40" w:before="57" w:after="57"/>
        <w:ind w:hanging="0" w:left="0" w:right="0"/>
        <w:contextualSpacing/>
        <w:jc w:val="both"/>
        <w:rPr/>
      </w:pPr>
      <w:r>
        <w:rPr>
          <w:rFonts w:cs="Verdana" w:ascii="Verdana" w:hAnsi="Verdana"/>
          <w:b w:val="false"/>
          <w:bCs w:val="false"/>
          <w:sz w:val="20"/>
          <w:szCs w:val="20"/>
          <w:u w:val="none"/>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240" w:before="57" w:after="57"/>
        <w:ind w:hanging="0" w:left="0" w:right="0"/>
        <w:contextualSpacing/>
        <w:jc w:val="both"/>
        <w:rPr/>
      </w:pPr>
      <w:r>
        <w:rPr>
          <w:rFonts w:cs="Verdana" w:ascii="Verdana" w:hAnsi="Verdana"/>
          <w:b w:val="false"/>
          <w:bCs w:val="false"/>
          <w:sz w:val="20"/>
          <w:szCs w:val="20"/>
          <w:u w:val="none"/>
        </w:rPr>
        <w:t>12.5. Não serão aceitos documentos de habilitação com indicação de CNPJ/CPF diferentes, salvo aqueles legalmente permitidos.</w:t>
      </w:r>
    </w:p>
    <w:p>
      <w:pPr>
        <w:pStyle w:val="ListParagraph"/>
        <w:spacing w:lineRule="auto" w:line="240" w:before="57" w:after="57"/>
        <w:ind w:hanging="0" w:left="0" w:right="0"/>
        <w:contextualSpacing/>
        <w:jc w:val="both"/>
        <w:rPr/>
      </w:pPr>
      <w:r>
        <w:rPr>
          <w:rFonts w:cs="Verdana" w:ascii="Verdana" w:hAnsi="Verdana"/>
          <w:b w:val="false"/>
          <w:bCs w:val="false"/>
          <w:sz w:val="20"/>
          <w:szCs w:val="20"/>
          <w:u w:val="none"/>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val="clear" w:fill="FFFFFF"/>
        <w:tabs>
          <w:tab w:val="clear" w:pos="708"/>
          <w:tab w:val="left" w:pos="567" w:leader="none"/>
        </w:tabs>
        <w:spacing w:lineRule="auto" w:line="240" w:before="57" w:after="57"/>
        <w:ind w:hanging="0" w:left="0" w:right="0"/>
        <w:rPr/>
      </w:pPr>
      <w:r>
        <w:rPr>
          <w:rFonts w:cs="Verdana" w:ascii="Verdana" w:hAnsi="Verdana"/>
          <w:b w:val="false"/>
          <w:bCs w:val="false"/>
          <w:color w:val="000000"/>
          <w:sz w:val="20"/>
          <w:szCs w:val="20"/>
          <w:u w:val="none"/>
        </w:rPr>
        <w:t>12.7. Os licitantes deverão encaminhar, nos termos deste Edital, a documentação relacionada nos itens a seguir, para fins de habilitação:</w:t>
      </w:r>
    </w:p>
    <w:p>
      <w:pPr>
        <w:pStyle w:val="PADRO"/>
        <w:widowControl/>
        <w:shd w:val="clear" w:fill="FFFFFF"/>
        <w:tabs>
          <w:tab w:val="clear" w:pos="708"/>
          <w:tab w:val="left" w:pos="567" w:leader="none"/>
        </w:tabs>
        <w:spacing w:lineRule="auto" w:line="240" w:before="0" w:after="0"/>
        <w:ind w:hanging="0" w:left="0" w:right="0"/>
        <w:rPr>
          <w:rFonts w:ascii="Verdana" w:hAnsi="Verdana" w:cs="Arial"/>
          <w:b/>
          <w:sz w:val="20"/>
          <w:szCs w:val="20"/>
          <w:u w:val="none"/>
        </w:rPr>
      </w:pPr>
      <w:r>
        <w:rPr>
          <w:rFonts w:cs="Arial" w:ascii="Verdana" w:hAnsi="Verdana"/>
          <w:b/>
          <w:sz w:val="20"/>
          <w:szCs w:val="20"/>
          <w:u w:val="none"/>
        </w:rPr>
      </w:r>
    </w:p>
    <w:p>
      <w:pPr>
        <w:pStyle w:val="ListParagraph"/>
        <w:spacing w:lineRule="auto" w:line="240" w:before="0" w:after="0"/>
        <w:ind w:hanging="0" w:left="0" w:right="0"/>
        <w:contextualSpacing/>
        <w:jc w:val="both"/>
        <w:rPr/>
      </w:pPr>
      <w:r>
        <w:rPr>
          <w:rFonts w:cs="Verdana" w:ascii="Verdana" w:hAnsi="Verdana"/>
          <w:b/>
          <w:bCs/>
          <w:color w:val="000000"/>
          <w:sz w:val="20"/>
          <w:szCs w:val="20"/>
          <w:u w:val="none"/>
        </w:rPr>
        <w:tab/>
        <w:t>12.8. Habilitação jurídica:</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12.8.1. No caso de empresário individual: inscrição no Registro Público de Empresas Mercantis, a cargo da Junta Comercial da respectiva sede;</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 xml:space="preserve">12.8.2. Em se tratando de microempreendedor individual – MEI: Certificado da Condição de Microempreendedor Individual – CCMEI, cuja aceitação ficará condicionada à verificação da autenticidade no sítio </w:t>
      </w:r>
      <w:hyperlink r:id="rId8">
        <w:r>
          <w:rPr>
            <w:rStyle w:val="ListLabel31"/>
            <w:rFonts w:cs="Verdana" w:ascii="Verdana" w:hAnsi="Verdana"/>
            <w:b w:val="false"/>
            <w:bCs w:val="false"/>
            <w:color w:val="000000"/>
            <w:sz w:val="20"/>
            <w:szCs w:val="20"/>
            <w:u w:val="none"/>
          </w:rPr>
          <w:t>www.portaldoempreendedor.gov.br</w:t>
        </w:r>
      </w:hyperlink>
      <w:r>
        <w:rPr>
          <w:rFonts w:cs="Verdana" w:ascii="Verdana" w:hAnsi="Verdana"/>
          <w:b w:val="false"/>
          <w:bCs w:val="false"/>
          <w:color w:val="000000"/>
          <w:sz w:val="20"/>
          <w:szCs w:val="20"/>
          <w:u w:val="none"/>
        </w:rPr>
        <w:t>;</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12.8.7. No caso de empresa ou sociedade estrangeira em funcionamento no País: decreto de autorização;</w:t>
      </w:r>
    </w:p>
    <w:p>
      <w:pPr>
        <w:pStyle w:val="ListParagraph"/>
        <w:spacing w:lineRule="auto" w:line="240" w:before="57" w:after="57"/>
        <w:ind w:hanging="0" w:left="0" w:right="0"/>
        <w:contextualSpacing/>
        <w:jc w:val="both"/>
        <w:rPr/>
      </w:pPr>
      <w:r>
        <w:rPr>
          <w:rFonts w:cs="Verdana" w:ascii="Verdana" w:hAnsi="Verdana"/>
          <w:b w:val="false"/>
          <w:bCs w:val="false"/>
          <w:color w:val="000000"/>
          <w:sz w:val="20"/>
          <w:szCs w:val="20"/>
          <w:u w:val="none"/>
        </w:rPr>
        <w:t xml:space="preserve">12.8.8. </w:t>
      </w:r>
      <w:r>
        <w:rPr>
          <w:rFonts w:cs="Verdana" w:ascii="Verdana" w:hAnsi="Verdana"/>
          <w:bCs/>
          <w:color w:val="000000"/>
          <w:sz w:val="20"/>
          <w:szCs w:val="20"/>
          <w:u w:val="none"/>
        </w:rPr>
        <w:t>Os documentos acima deverão estar acompanhados de todas as alterações ou da consolidação respectiva.</w:t>
      </w:r>
    </w:p>
    <w:p>
      <w:pPr>
        <w:pStyle w:val="ListParagraph"/>
        <w:spacing w:lineRule="auto" w:line="240" w:before="0" w:after="0"/>
        <w:ind w:hanging="0" w:left="0" w:right="0"/>
        <w:contextualSpacing/>
        <w:jc w:val="both"/>
        <w:rPr>
          <w:rFonts w:ascii="Verdana" w:hAnsi="Verdana" w:cs="Arial"/>
          <w:b/>
          <w:sz w:val="20"/>
          <w:szCs w:val="20"/>
          <w:u w:val="none"/>
        </w:rPr>
      </w:pPr>
      <w:r>
        <w:rPr>
          <w:rFonts w:cs="Arial" w:ascii="Verdana" w:hAnsi="Verdana"/>
          <w:b/>
          <w:sz w:val="20"/>
          <w:szCs w:val="20"/>
          <w:u w:val="none"/>
        </w:rPr>
      </w:r>
    </w:p>
    <w:p>
      <w:pPr>
        <w:pStyle w:val="ListParagraph"/>
        <w:spacing w:lineRule="auto" w:line="240" w:before="57" w:after="57"/>
        <w:ind w:hanging="0" w:left="0" w:right="0"/>
        <w:contextualSpacing/>
        <w:jc w:val="both"/>
        <w:rPr/>
      </w:pPr>
      <w:r>
        <w:rPr>
          <w:rFonts w:cs="Verdana" w:ascii="Verdana" w:hAnsi="Verdana"/>
          <w:b/>
          <w:color w:val="000000"/>
          <w:sz w:val="20"/>
          <w:szCs w:val="20"/>
          <w:u w:val="none"/>
        </w:rPr>
        <w:tab/>
        <w:t>12.09. Qualificação Econômico-Financeira</w:t>
      </w:r>
      <w:r>
        <w:rPr>
          <w:rFonts w:cs="Verdana" w:ascii="Verdana" w:hAnsi="Verdana"/>
          <w:color w:val="000000"/>
          <w:sz w:val="20"/>
          <w:szCs w:val="20"/>
          <w:u w:val="none"/>
        </w:rPr>
        <w:t>.</w:t>
      </w:r>
    </w:p>
    <w:p>
      <w:pPr>
        <w:pStyle w:val="Normal"/>
        <w:tabs>
          <w:tab w:val="clear" w:pos="708"/>
          <w:tab w:val="left" w:pos="850" w:leader="none"/>
        </w:tabs>
        <w:spacing w:lineRule="auto" w:line="240" w:before="57" w:after="57"/>
        <w:jc w:val="both"/>
        <w:rPr/>
      </w:pPr>
      <w:r>
        <w:rPr>
          <w:rFonts w:cs="Verdana" w:ascii="Verdana" w:hAnsi="Verdana"/>
          <w:b w:val="false"/>
          <w:bCs w:val="false"/>
          <w:color w:val="000000"/>
          <w:sz w:val="20"/>
          <w:szCs w:val="20"/>
          <w:u w:val="none"/>
        </w:rPr>
        <w:t>12.</w:t>
      </w:r>
      <w:r>
        <w:rPr>
          <w:rFonts w:eastAsia="Times New Roman" w:cs="Verdana" w:ascii="Verdana" w:hAnsi="Verdana"/>
          <w:b w:val="false"/>
          <w:bCs w:val="false"/>
          <w:color w:val="000000"/>
          <w:sz w:val="20"/>
          <w:szCs w:val="20"/>
          <w:u w:val="none"/>
        </w:rPr>
        <w:t>9</w:t>
      </w:r>
      <w:r>
        <w:rPr>
          <w:rFonts w:cs="Verdana" w:ascii="Verdana" w:hAnsi="Verdana"/>
          <w:b w:val="false"/>
          <w:bCs w:val="false"/>
          <w:color w:val="000000"/>
          <w:sz w:val="20"/>
          <w:szCs w:val="20"/>
          <w:u w:val="none"/>
        </w:rPr>
        <w:t>.1.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08"/>
          <w:tab w:val="left" w:pos="850" w:leader="none"/>
        </w:tabs>
        <w:spacing w:lineRule="auto" w:line="240" w:before="57" w:after="57"/>
        <w:jc w:val="both"/>
        <w:rPr/>
      </w:pPr>
      <w:r>
        <w:rPr>
          <w:rFonts w:cs="Verdana" w:ascii="Verdana" w:hAnsi="Verdana"/>
          <w:b w:val="false"/>
          <w:bCs w:val="false"/>
          <w:color w:val="000000"/>
          <w:sz w:val="20"/>
          <w:szCs w:val="20"/>
          <w:u w:val="none"/>
        </w:rPr>
        <w:t>12.</w:t>
      </w:r>
      <w:r>
        <w:rPr>
          <w:rFonts w:eastAsia="Times New Roman" w:cs="Verdana" w:ascii="Verdana" w:hAnsi="Verdana"/>
          <w:b w:val="false"/>
          <w:bCs w:val="false"/>
          <w:color w:val="000000"/>
          <w:sz w:val="20"/>
          <w:szCs w:val="20"/>
          <w:u w:val="none"/>
        </w:rPr>
        <w:t>9</w:t>
      </w:r>
      <w:r>
        <w:rPr>
          <w:rFonts w:cs="Verdana" w:ascii="Verdana" w:hAnsi="Verdana"/>
          <w:b w:val="false"/>
          <w:bCs w:val="false"/>
          <w:color w:val="000000"/>
          <w:sz w:val="20"/>
          <w:szCs w:val="20"/>
          <w:u w:val="none"/>
        </w:rPr>
        <w:t>.2.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40" w:before="57" w:after="57"/>
        <w:ind w:hanging="0" w:left="-57" w:right="0"/>
        <w:jc w:val="both"/>
        <w:rPr/>
      </w:pPr>
      <w:r>
        <w:rPr>
          <w:rFonts w:cs="Verdana" w:ascii="Verdana" w:hAnsi="Verdana"/>
          <w:b w:val="false"/>
          <w:bCs w:val="false"/>
          <w:sz w:val="20"/>
          <w:szCs w:val="20"/>
          <w:u w:val="none"/>
        </w:rPr>
        <w:t>12.</w:t>
      </w:r>
      <w:r>
        <w:rPr>
          <w:rFonts w:eastAsia="Times New Roman" w:cs="Verdana" w:ascii="Verdana" w:hAnsi="Verdana"/>
          <w:b w:val="false"/>
          <w:bCs w:val="false"/>
          <w:sz w:val="20"/>
          <w:szCs w:val="20"/>
          <w:u w:val="none"/>
        </w:rPr>
        <w:t>9</w:t>
      </w:r>
      <w:r>
        <w:rPr>
          <w:rFonts w:cs="Verdana" w:ascii="Verdana" w:hAnsi="Verdana"/>
          <w:b w:val="false"/>
          <w:bCs w:val="false"/>
          <w:sz w:val="20"/>
          <w:szCs w:val="20"/>
          <w:u w:val="none"/>
        </w:rPr>
        <w:t>.3. Para a contagem do prazo estabelecido na letra “a” deste capítulo, será contado a partir do primeiro dia que antecede a data da realização desta dispensa de licitação.</w:t>
      </w:r>
    </w:p>
    <w:p>
      <w:pPr>
        <w:pStyle w:val="Normal"/>
        <w:tabs>
          <w:tab w:val="clear" w:pos="708"/>
          <w:tab w:val="left" w:pos="850" w:leader="none"/>
        </w:tabs>
        <w:spacing w:lineRule="auto" w:line="240" w:before="57" w:after="57"/>
        <w:ind w:hanging="0" w:left="-79" w:right="0"/>
        <w:jc w:val="both"/>
        <w:rPr/>
      </w:pPr>
      <w:r>
        <w:rPr>
          <w:rFonts w:cs="Verdana" w:ascii="Verdana" w:hAnsi="Verdana"/>
          <w:b w:val="false"/>
          <w:bCs w:val="false"/>
          <w:iCs/>
          <w:color w:val="000000"/>
          <w:sz w:val="20"/>
          <w:szCs w:val="20"/>
          <w:u w:val="none"/>
          <w:lang w:eastAsia="en-US"/>
        </w:rPr>
        <w:t>12.</w:t>
      </w:r>
      <w:r>
        <w:rPr>
          <w:rFonts w:eastAsia="Times New Roman" w:cs="Verdana" w:ascii="Verdana" w:hAnsi="Verdana"/>
          <w:b w:val="false"/>
          <w:bCs w:val="false"/>
          <w:iCs/>
          <w:color w:val="000000"/>
          <w:sz w:val="20"/>
          <w:szCs w:val="20"/>
          <w:u w:val="none"/>
          <w:lang w:eastAsia="en-US"/>
        </w:rPr>
        <w:t>9</w:t>
      </w:r>
      <w:r>
        <w:rPr>
          <w:rFonts w:cs="Verdana" w:ascii="Verdana" w:hAnsi="Verdana"/>
          <w:b w:val="false"/>
          <w:bCs w:val="false"/>
          <w:iCs/>
          <w:color w:val="000000"/>
          <w:sz w:val="20"/>
          <w:szCs w:val="20"/>
          <w:u w:val="none"/>
          <w:lang w:eastAsia="en-US"/>
        </w:rPr>
        <w:t>.4.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40" w:before="0" w:after="0"/>
        <w:ind w:hanging="0" w:left="-79" w:right="0"/>
        <w:jc w:val="both"/>
        <w:rPr>
          <w:rFonts w:ascii="Verdana" w:hAnsi="Verdana"/>
          <w:sz w:val="20"/>
          <w:szCs w:val="20"/>
        </w:rPr>
      </w:pPr>
      <w:r>
        <w:rPr>
          <w:rFonts w:ascii="Verdana" w:hAnsi="Verdana"/>
          <w:sz w:val="20"/>
          <w:szCs w:val="20"/>
        </w:rPr>
      </w:r>
    </w:p>
    <w:p>
      <w:pPr>
        <w:pStyle w:val="Normal"/>
        <w:spacing w:lineRule="auto" w:line="240"/>
        <w:ind w:hanging="0" w:left="0" w:right="0"/>
        <w:jc w:val="both"/>
        <w:rPr/>
      </w:pPr>
      <w:r>
        <w:rPr>
          <w:rFonts w:ascii="Verdana" w:hAnsi="Verdana"/>
          <w:b/>
          <w:bCs/>
          <w:sz w:val="20"/>
          <w:szCs w:val="20"/>
          <w:u w:val="none"/>
        </w:rPr>
        <w:t>13. CRITÉRIOS DE PAGAMENTO</w:t>
      </w:r>
    </w:p>
    <w:p>
      <w:pPr>
        <w:pStyle w:val="Normal"/>
        <w:spacing w:lineRule="auto" w:line="240"/>
        <w:ind w:hanging="0" w:left="0" w:right="0"/>
        <w:jc w:val="both"/>
        <w:rPr/>
      </w:pPr>
      <w:r>
        <w:rPr>
          <w:rFonts w:ascii="Verdana" w:hAnsi="Verdana"/>
          <w:b w:val="false"/>
          <w:bCs w:val="false"/>
          <w:sz w:val="20"/>
          <w:szCs w:val="20"/>
          <w:u w:val="none"/>
          <w:lang w:eastAsia="en-US"/>
        </w:rPr>
        <w:t xml:space="preserve">13.1. Recebida a Nota Fiscal ou documento de cobrança equivalente, correrá o prazo de </w:t>
      </w:r>
      <w:r>
        <w:rPr>
          <w:rFonts w:eastAsia="Times New Roman" w:cs="Times New Roman" w:ascii="Verdana" w:hAnsi="Verdana"/>
          <w:b w:val="false"/>
          <w:bCs w:val="false"/>
          <w:sz w:val="20"/>
          <w:szCs w:val="20"/>
          <w:u w:val="none"/>
          <w:lang w:eastAsia="en-US"/>
        </w:rPr>
        <w:t>(30) trinta</w:t>
      </w:r>
      <w:r>
        <w:rPr>
          <w:rFonts w:ascii="Verdana" w:hAnsi="Verdana"/>
          <w:b w:val="false"/>
          <w:bCs w:val="false"/>
          <w:sz w:val="20"/>
          <w:szCs w:val="20"/>
          <w:u w:val="none"/>
          <w:lang w:eastAsia="en-US"/>
        </w:rPr>
        <w:t xml:space="preserve"> dias úteis para fins de liquidação, na forma desta seção, prorrogáveis por igual período.</w:t>
      </w:r>
    </w:p>
    <w:p>
      <w:pPr>
        <w:pStyle w:val="Normal"/>
        <w:spacing w:lineRule="auto" w:line="240"/>
        <w:ind w:hanging="0" w:left="-22" w:right="0"/>
        <w:jc w:val="both"/>
        <w:rPr/>
      </w:pPr>
      <w:r>
        <w:rPr>
          <w:rFonts w:ascii="Verdana" w:hAnsi="Verdana"/>
          <w:b w:val="false"/>
          <w:bCs w:val="false"/>
          <w:sz w:val="20"/>
          <w:szCs w:val="20"/>
          <w:u w:val="none"/>
        </w:rPr>
        <w:t xml:space="preserve">13.2.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32"/>
          <w:sz w:val="20"/>
          <w:u w:val="none"/>
          <w:b w:val="false"/>
          <w:szCs w:val="20"/>
          <w:bCs w:val="false"/>
          <w:rFonts w:ascii="Verdana" w:hAnsi="Verdana"/>
          <w:color w:val="000000"/>
        </w:rPr>
        <w:instrText xml:space="preserve"> HYPERLINK "http://www.planalto.gov.br/ccivil_03/_ato2019-2022/2021/lei/L14133.htm" \l "art75"</w:instrText>
      </w:r>
      <w:r>
        <w:rPr>
          <w:rStyle w:val="ListLabel32"/>
          <w:sz w:val="20"/>
          <w:u w:val="none"/>
          <w:b w:val="false"/>
          <w:szCs w:val="20"/>
          <w:bCs w:val="false"/>
          <w:rFonts w:ascii="Verdana" w:hAnsi="Verdana"/>
          <w:color w:val="000000"/>
        </w:rPr>
        <w:fldChar w:fldCharType="separate"/>
      </w:r>
      <w:r>
        <w:rPr>
          <w:rStyle w:val="ListLabel32"/>
          <w:rFonts w:ascii="Verdana" w:hAnsi="Verdana"/>
          <w:b w:val="false"/>
          <w:bCs w:val="false"/>
          <w:color w:val="000000"/>
          <w:sz w:val="20"/>
          <w:szCs w:val="20"/>
          <w:u w:val="none"/>
        </w:rPr>
        <w:t>inciso II do art. 75 da Lei nº 14.133, de 2021</w:t>
      </w:r>
      <w:r>
        <w:rPr>
          <w:rStyle w:val="ListLabel32"/>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40"/>
        <w:ind w:hanging="0" w:left="-22" w:right="0"/>
        <w:jc w:val="both"/>
        <w:rPr/>
      </w:pPr>
      <w:r>
        <w:rPr>
          <w:rFonts w:ascii="Verdana" w:hAnsi="Verdana"/>
          <w:b w:val="false"/>
          <w:bCs w:val="false"/>
          <w:sz w:val="20"/>
          <w:szCs w:val="20"/>
          <w:u w:val="none"/>
        </w:rPr>
        <w:t xml:space="preserve">1233.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hanging="0" w:left="432" w:right="0"/>
        <w:jc w:val="both"/>
        <w:rPr/>
      </w:pPr>
      <w:r>
        <w:rPr>
          <w:rFonts w:ascii="Verdana" w:hAnsi="Verdana"/>
          <w:b w:val="false"/>
          <w:bCs w:val="false"/>
          <w:sz w:val="20"/>
          <w:szCs w:val="20"/>
          <w:u w:val="none"/>
        </w:rPr>
        <w:t>- O prazo de validade;</w:t>
      </w:r>
    </w:p>
    <w:p>
      <w:pPr>
        <w:pStyle w:val="Normal"/>
        <w:tabs>
          <w:tab w:val="clear" w:pos="708"/>
          <w:tab w:val="left" w:pos="563" w:leader="none"/>
        </w:tabs>
        <w:spacing w:lineRule="auto" w:line="240"/>
        <w:ind w:hanging="0" w:left="432" w:right="0"/>
        <w:jc w:val="both"/>
        <w:rPr/>
      </w:pPr>
      <w:r>
        <w:rPr>
          <w:rFonts w:ascii="Verdana" w:hAnsi="Verdana"/>
          <w:b w:val="false"/>
          <w:bCs w:val="false"/>
          <w:sz w:val="20"/>
          <w:szCs w:val="20"/>
          <w:u w:val="none"/>
        </w:rPr>
        <w:t xml:space="preserve">- A data da emissão; </w:t>
      </w:r>
    </w:p>
    <w:p>
      <w:pPr>
        <w:pStyle w:val="Normal"/>
        <w:tabs>
          <w:tab w:val="clear" w:pos="708"/>
          <w:tab w:val="left" w:pos="563" w:leader="none"/>
        </w:tabs>
        <w:spacing w:lineRule="auto" w:line="240"/>
        <w:ind w:hanging="0" w:left="432" w:right="0"/>
        <w:jc w:val="both"/>
        <w:rPr/>
      </w:pPr>
      <w:r>
        <w:rPr>
          <w:rFonts w:ascii="Verdana" w:hAnsi="Verdana"/>
          <w:b w:val="false"/>
          <w:bCs w:val="false"/>
          <w:sz w:val="20"/>
          <w:szCs w:val="20"/>
          <w:u w:val="none"/>
        </w:rPr>
        <w:t xml:space="preserve">- Os dados do contrato e do órgão contratante; </w:t>
      </w:r>
    </w:p>
    <w:p>
      <w:pPr>
        <w:pStyle w:val="Normal"/>
        <w:tabs>
          <w:tab w:val="clear" w:pos="708"/>
          <w:tab w:val="left" w:pos="563" w:leader="none"/>
        </w:tabs>
        <w:spacing w:lineRule="auto" w:line="240"/>
        <w:ind w:hanging="0" w:left="432" w:right="0"/>
        <w:jc w:val="both"/>
        <w:rPr/>
      </w:pPr>
      <w:r>
        <w:rPr>
          <w:rFonts w:ascii="Verdana" w:hAnsi="Verdana"/>
          <w:b w:val="false"/>
          <w:bCs w:val="false"/>
          <w:sz w:val="20"/>
          <w:szCs w:val="20"/>
          <w:u w:val="none"/>
        </w:rPr>
        <w:t xml:space="preserve">- O período respectivo de execução do contrato; </w:t>
      </w:r>
    </w:p>
    <w:p>
      <w:pPr>
        <w:pStyle w:val="Normal"/>
        <w:tabs>
          <w:tab w:val="clear" w:pos="708"/>
          <w:tab w:val="left" w:pos="563" w:leader="none"/>
        </w:tabs>
        <w:spacing w:lineRule="auto" w:line="240"/>
        <w:ind w:hanging="0" w:left="432" w:right="0"/>
        <w:jc w:val="both"/>
        <w:rPr/>
      </w:pPr>
      <w:r>
        <w:rPr>
          <w:rFonts w:ascii="Verdana" w:hAnsi="Verdana"/>
          <w:b w:val="false"/>
          <w:bCs w:val="false"/>
          <w:sz w:val="20"/>
          <w:szCs w:val="20"/>
          <w:u w:val="none"/>
        </w:rPr>
        <w:t xml:space="preserve">- O valor a pagar; e </w:t>
      </w:r>
    </w:p>
    <w:p>
      <w:pPr>
        <w:pStyle w:val="Normal"/>
        <w:tabs>
          <w:tab w:val="clear" w:pos="708"/>
          <w:tab w:val="left" w:pos="563" w:leader="none"/>
        </w:tabs>
        <w:spacing w:lineRule="auto" w:line="240"/>
        <w:ind w:hanging="0" w:left="432" w:right="0"/>
        <w:jc w:val="both"/>
        <w:rPr/>
      </w:pPr>
      <w:r>
        <w:rPr>
          <w:rFonts w:ascii="Verdana" w:hAnsi="Verdana"/>
          <w:b w:val="false"/>
          <w:bCs w:val="false"/>
          <w:sz w:val="20"/>
          <w:szCs w:val="20"/>
          <w:u w:val="none"/>
        </w:rPr>
        <w:t>- Eventual destaque do valor de retenções tributárias cabíveis.</w:t>
      </w:r>
    </w:p>
    <w:p>
      <w:pPr>
        <w:pStyle w:val="Normal"/>
        <w:tabs>
          <w:tab w:val="clear" w:pos="708"/>
          <w:tab w:val="left" w:pos="0" w:leader="none"/>
          <w:tab w:val="left" w:pos="563" w:leader="none"/>
        </w:tabs>
        <w:spacing w:lineRule="auto" w:line="240"/>
        <w:ind w:hanging="0" w:left="-22" w:right="0"/>
        <w:jc w:val="both"/>
        <w:rPr/>
      </w:pPr>
      <w:r>
        <w:rPr>
          <w:rFonts w:ascii="Verdana" w:hAnsi="Verdana"/>
          <w:b w:val="false"/>
          <w:bCs w:val="false"/>
          <w:sz w:val="20"/>
          <w:szCs w:val="20"/>
          <w:u w:val="none"/>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hanging="0" w:left="-22" w:right="0"/>
        <w:jc w:val="both"/>
        <w:rPr/>
      </w:pPr>
      <w:r>
        <w:rPr>
          <w:rFonts w:ascii="Verdana" w:hAnsi="Verdana"/>
          <w:b w:val="false"/>
          <w:bCs w:val="false"/>
          <w:sz w:val="20"/>
          <w:szCs w:val="20"/>
          <w:u w:val="none"/>
        </w:rPr>
        <w:t>13.5. A</w:t>
      </w:r>
      <w:r>
        <w:rPr>
          <w:rFonts w:ascii="Verdana" w:hAnsi="Verdana"/>
          <w:b w:val="false"/>
          <w:bCs w:val="false"/>
          <w:sz w:val="20"/>
          <w:szCs w:val="20"/>
          <w:u w:val="none"/>
          <w:lang w:eastAsia="en-US"/>
        </w:rPr>
        <w:t xml:space="preserve"> nota fiscal ou instrumento de cobrança equivalente deverá ser obrigatoriamente acompanhado da comprovação da regularidade fiscal</w:t>
      </w:r>
      <w:r>
        <w:rPr>
          <w:rStyle w:val="Hyperlink"/>
          <w:rFonts w:ascii="Verdana" w:hAnsi="Verdana"/>
          <w:b w:val="false"/>
          <w:bCs w:val="false"/>
          <w:sz w:val="20"/>
          <w:szCs w:val="20"/>
          <w:u w:val="none"/>
          <w:lang w:eastAsia="en-US"/>
        </w:rPr>
        <w:t>.</w:t>
      </w:r>
    </w:p>
    <w:p>
      <w:pPr>
        <w:pStyle w:val="Normal"/>
        <w:spacing w:lineRule="auto" w:line="240"/>
        <w:ind w:hanging="0" w:left="-22" w:right="0"/>
        <w:jc w:val="both"/>
        <w:rPr/>
      </w:pPr>
      <w:r>
        <w:rPr>
          <w:rFonts w:ascii="Verdana" w:hAnsi="Verdana"/>
          <w:b w:val="false"/>
          <w:bCs w:val="false"/>
          <w:sz w:val="20"/>
          <w:szCs w:val="20"/>
          <w:u w:val="none"/>
        </w:rPr>
        <w:t>13.6. O pagamento será efetuado no prazo de até 30 (trinta) dias úteis contados da finalização da liquidação da despesa.</w:t>
      </w:r>
    </w:p>
    <w:p>
      <w:pPr>
        <w:pStyle w:val="Normal"/>
        <w:spacing w:lineRule="auto" w:line="240"/>
        <w:ind w:hanging="0" w:left="-22" w:right="0"/>
        <w:jc w:val="both"/>
        <w:rPr/>
      </w:pPr>
      <w:r>
        <w:rPr>
          <w:rFonts w:ascii="Verdana" w:hAnsi="Verdana"/>
          <w:b w:val="false"/>
          <w:bCs w:val="false"/>
          <w:sz w:val="20"/>
          <w:szCs w:val="20"/>
          <w:u w:val="none"/>
        </w:rPr>
        <w:t>13.7. O pagamento será realizado por meio de ordem bancária, para crédito em banco, agência e conta corrente indicados pelo contratado.</w:t>
      </w:r>
    </w:p>
    <w:p>
      <w:pPr>
        <w:pStyle w:val="Normal"/>
        <w:spacing w:lineRule="auto" w:line="240"/>
        <w:ind w:hanging="0" w:left="-22" w:right="0"/>
        <w:jc w:val="both"/>
        <w:rPr/>
      </w:pPr>
      <w:r>
        <w:rPr>
          <w:rFonts w:ascii="Verdana" w:hAnsi="Verdana"/>
          <w:b w:val="false"/>
          <w:bCs w:val="false"/>
          <w:sz w:val="20"/>
          <w:szCs w:val="20"/>
          <w:u w:val="none"/>
        </w:rPr>
        <w:t>12.8. Será considerada data do pagamento o dia em que constar como emitida a ordem bancária para pagamento.</w:t>
      </w:r>
    </w:p>
    <w:p>
      <w:pPr>
        <w:pStyle w:val="Normal"/>
        <w:spacing w:lineRule="auto" w:line="240"/>
        <w:ind w:hanging="0" w:left="-79" w:right="0"/>
        <w:jc w:val="both"/>
        <w:rPr/>
      </w:pPr>
      <w:r>
        <w:rPr>
          <w:rFonts w:ascii="Verdana" w:hAnsi="Verdana"/>
          <w:b w:val="false"/>
          <w:bCs w:val="false"/>
          <w:sz w:val="20"/>
          <w:szCs w:val="20"/>
          <w:u w:val="none"/>
        </w:rPr>
        <w:t>13.9. Quando do pagamento, será efetuada a retenção tributária prevista na legislação aplicável.</w:t>
      </w:r>
    </w:p>
    <w:p>
      <w:pPr>
        <w:pStyle w:val="Normal"/>
        <w:spacing w:lineRule="auto" w:line="240"/>
        <w:ind w:hanging="0" w:left="-79" w:right="0"/>
        <w:jc w:val="both"/>
        <w:rPr/>
      </w:pPr>
      <w:r>
        <w:rPr>
          <w:rFonts w:ascii="Verdana" w:hAnsi="Verdana"/>
          <w:b w:val="false"/>
          <w:bCs w:val="false"/>
          <w:sz w:val="20"/>
          <w:szCs w:val="20"/>
          <w:u w:val="none"/>
          <w:lang w:eastAsia="en-US"/>
        </w:rPr>
        <w:t xml:space="preserve">13.10. O contratado regularmente optante pelo Simples Nacional, nos termos da </w:t>
      </w:r>
      <w:hyperlink r:id="rId9">
        <w:r>
          <w:rPr>
            <w:rStyle w:val="ListLabel33"/>
            <w:rFonts w:ascii="Verdana" w:hAnsi="Verdana"/>
            <w:b w:val="false"/>
            <w:bCs w:val="false"/>
            <w:sz w:val="20"/>
            <w:szCs w:val="20"/>
            <w:u w:val="none"/>
            <w:lang w:eastAsia="en-US"/>
          </w:rPr>
          <w:t>Lei Complementar nº 123, de 2006</w:t>
        </w:r>
      </w:hyperlink>
      <w:r>
        <w:rPr>
          <w:rFonts w:ascii="Verdana" w:hAnsi="Verdana"/>
          <w:b w:val="false"/>
          <w:bCs w:val="false"/>
          <w:sz w:val="20"/>
          <w:szCs w:val="20"/>
          <w:u w:val="none"/>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hanging="0" w:left="-79" w:right="0"/>
        <w:jc w:val="both"/>
        <w:rPr/>
      </w:pPr>
      <w:r>
        <w:rPr>
          <w:rFonts w:ascii="Verdana" w:hAnsi="Verdana"/>
          <w:b w:val="false"/>
          <w:bCs w:val="false"/>
          <w:sz w:val="20"/>
          <w:szCs w:val="20"/>
          <w:u w:val="none"/>
          <w:lang w:eastAsia="en-US"/>
        </w:rPr>
        <w:t>13.11.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pPr>
        <w:pStyle w:val="PargrafodaLista"/>
        <w:tabs>
          <w:tab w:val="clear" w:pos="708"/>
          <w:tab w:val="left" w:pos="518" w:leader="none"/>
        </w:tabs>
        <w:spacing w:lineRule="auto" w:line="240"/>
        <w:ind w:hanging="0" w:left="0" w:right="0"/>
        <w:jc w:val="both"/>
        <w:rPr/>
      </w:pPr>
      <w:r>
        <w:rPr>
          <w:rFonts w:ascii="Verdana" w:hAnsi="Verdana"/>
          <w:b w:val="false"/>
          <w:bCs w:val="false"/>
          <w:color w:val="000000"/>
          <w:sz w:val="20"/>
          <w:szCs w:val="20"/>
          <w:u w:val="none"/>
        </w:rPr>
        <w:t xml:space="preserve">13.11. </w:t>
      </w:r>
      <w:r>
        <w:rPr>
          <w:rFonts w:ascii="Verdana" w:hAnsi="Verdana"/>
          <w:b w:val="false"/>
          <w:bCs w:val="false"/>
          <w:sz w:val="20"/>
          <w:szCs w:val="20"/>
          <w:u w:val="none"/>
        </w:rPr>
        <w:t xml:space="preserve"> Após o pra</w:t>
      </w:r>
      <w:r>
        <w:rPr>
          <w:rFonts w:ascii="Verdana" w:hAnsi="Verdana"/>
          <w:sz w:val="20"/>
          <w:szCs w:val="20"/>
          <w:u w:val="none"/>
        </w:rPr>
        <w:t>zo acima referenciado, será paga multa financeira nos seguintes termos:</w:t>
      </w:r>
    </w:p>
    <w:p>
      <w:pPr>
        <w:pStyle w:val="PargrafodaLista"/>
        <w:tabs>
          <w:tab w:val="clear" w:pos="708"/>
          <w:tab w:val="left" w:pos="518" w:leader="none"/>
        </w:tabs>
        <w:spacing w:lineRule="auto" w:line="240"/>
        <w:ind w:hanging="0" w:left="0" w:right="0"/>
        <w:jc w:val="both"/>
        <w:rPr/>
      </w:pPr>
      <w:r>
        <w:rPr>
          <w:rFonts w:cs="Verdana" w:ascii="Verdana" w:hAnsi="Verdana"/>
          <w:sz w:val="20"/>
          <w:szCs w:val="20"/>
          <w:u w:val="none"/>
        </w:rPr>
        <w:t xml:space="preserve">VM = VF </w:t>
      </w:r>
      <w:r>
        <w:rPr>
          <w:rFonts w:cs="Verdana" w:ascii="Verdana" w:hAnsi="Verdana"/>
          <w:sz w:val="20"/>
          <w:szCs w:val="20"/>
          <w:u w:val="none"/>
          <w:vertAlign w:val="subscript"/>
        </w:rPr>
        <w:t>*</w:t>
      </w:r>
      <w:r>
        <w:rPr>
          <w:rFonts w:cs="Verdana" w:ascii="Verdana" w:hAnsi="Verdana"/>
          <w:sz w:val="20"/>
          <w:szCs w:val="20"/>
          <w:u w:val="none"/>
        </w:rPr>
        <w:t xml:space="preserve"> 0,33 </w:t>
      </w:r>
      <w:r>
        <w:rPr>
          <w:rFonts w:cs="Verdana" w:ascii="Verdana" w:hAnsi="Verdana"/>
          <w:sz w:val="20"/>
          <w:szCs w:val="20"/>
          <w:u w:val="none"/>
          <w:vertAlign w:val="subscript"/>
        </w:rPr>
        <w:t>*</w:t>
      </w:r>
      <w:r>
        <w:rPr>
          <w:rFonts w:cs="Verdana" w:ascii="Verdana" w:hAnsi="Verdana"/>
          <w:sz w:val="20"/>
          <w:szCs w:val="20"/>
          <w:u w:val="none"/>
        </w:rPr>
        <w:t xml:space="preserve"> ND</w:t>
      </w:r>
    </w:p>
    <w:p>
      <w:pPr>
        <w:pStyle w:val="PargrafodaLista"/>
        <w:tabs>
          <w:tab w:val="clear" w:pos="708"/>
          <w:tab w:val="left" w:pos="518" w:leader="none"/>
        </w:tabs>
        <w:spacing w:lineRule="auto" w:line="240"/>
        <w:ind w:hanging="0" w:left="0" w:right="0"/>
        <w:jc w:val="center"/>
        <w:rPr/>
      </w:pPr>
      <w:r>
        <w:rPr>
          <w:rFonts w:eastAsia="Verdana" w:cs="Verdana" w:ascii="Verdana" w:hAnsi="Verdana"/>
          <w:sz w:val="20"/>
          <w:szCs w:val="20"/>
          <w:u w:val="none"/>
        </w:rPr>
        <w:t xml:space="preserve">        </w:t>
      </w:r>
      <w:r>
        <w:rPr>
          <w:rFonts w:cs="Verdana" w:ascii="Verdana" w:hAnsi="Verdana"/>
          <w:sz w:val="20"/>
          <w:szCs w:val="20"/>
          <w:u w:val="none"/>
        </w:rPr>
        <w:t>100</w:t>
      </w:r>
    </w:p>
    <w:p>
      <w:pPr>
        <w:pStyle w:val="Normal"/>
        <w:suppressAutoHyphens w:val="false"/>
        <w:spacing w:lineRule="auto" w:line="240"/>
        <w:jc w:val="both"/>
        <w:rPr/>
      </w:pPr>
      <w:r>
        <w:rPr>
          <w:rFonts w:cs="Arial" w:ascii="Verdana" w:hAnsi="Verdana"/>
          <w:color w:val="000000"/>
          <w:sz w:val="20"/>
          <w:szCs w:val="20"/>
          <w:u w:val="none"/>
        </w:rPr>
        <w:t xml:space="preserve">Onde: </w:t>
      </w:r>
    </w:p>
    <w:p>
      <w:pPr>
        <w:pStyle w:val="Normal"/>
        <w:suppressAutoHyphens w:val="false"/>
        <w:spacing w:lineRule="auto" w:line="240"/>
        <w:jc w:val="both"/>
        <w:rPr/>
      </w:pPr>
      <w:r>
        <w:rPr>
          <w:rFonts w:cs="Arial" w:ascii="Verdana" w:hAnsi="Verdana"/>
          <w:color w:val="000000"/>
          <w:sz w:val="20"/>
          <w:szCs w:val="20"/>
          <w:u w:val="none"/>
        </w:rPr>
        <w:t xml:space="preserve">VM = Valor da Multa Financeira; </w:t>
      </w:r>
    </w:p>
    <w:p>
      <w:pPr>
        <w:pStyle w:val="Normal"/>
        <w:suppressAutoHyphens w:val="false"/>
        <w:spacing w:lineRule="auto" w:line="240"/>
        <w:jc w:val="both"/>
        <w:rPr/>
      </w:pPr>
      <w:r>
        <w:rPr>
          <w:rFonts w:cs="Arial" w:ascii="Verdana" w:hAnsi="Verdana"/>
          <w:color w:val="000000"/>
          <w:sz w:val="20"/>
          <w:szCs w:val="20"/>
          <w:u w:val="none"/>
        </w:rPr>
        <w:t xml:space="preserve">VF = Valor da Nota Fiscal; </w:t>
      </w:r>
    </w:p>
    <w:p>
      <w:pPr>
        <w:pStyle w:val="PargrafodaLista"/>
        <w:tabs>
          <w:tab w:val="clear" w:pos="708"/>
          <w:tab w:val="left" w:pos="518" w:leader="none"/>
        </w:tabs>
        <w:spacing w:lineRule="auto" w:line="240"/>
        <w:ind w:hanging="0" w:left="0" w:right="0"/>
        <w:jc w:val="both"/>
        <w:rPr/>
      </w:pPr>
      <w:r>
        <w:rPr>
          <w:rFonts w:eastAsia="Times New Roman" w:cs="Arial" w:ascii="Verdana" w:hAnsi="Verdana"/>
          <w:color w:val="000000"/>
          <w:sz w:val="20"/>
          <w:szCs w:val="20"/>
          <w:u w:val="none"/>
        </w:rPr>
        <w:t>ND = Número de dias em atraso.</w:t>
      </w:r>
    </w:p>
    <w:p>
      <w:pPr>
        <w:pStyle w:val="PargrafodaLista"/>
        <w:tabs>
          <w:tab w:val="clear" w:pos="708"/>
          <w:tab w:val="left" w:pos="518" w:leader="none"/>
        </w:tabs>
        <w:spacing w:lineRule="auto" w:line="240"/>
        <w:ind w:hanging="0" w:left="0" w:right="0"/>
        <w:jc w:val="both"/>
        <w:rPr/>
      </w:pPr>
      <w:r>
        <w:rPr>
          <w:rFonts w:eastAsia="Times New Roman" w:cs="Arial" w:ascii="Verdana" w:hAnsi="Verdana"/>
          <w:b w:val="false"/>
          <w:bCs w:val="false"/>
          <w:color w:val="000000"/>
          <w:sz w:val="20"/>
          <w:szCs w:val="20"/>
          <w:u w:val="none"/>
        </w:rPr>
        <w:t xml:space="preserve">13.12.. </w:t>
      </w:r>
      <w:r>
        <w:rPr>
          <w:rFonts w:cs="Arial" w:ascii="Verdana" w:hAnsi="Verdana"/>
          <w:b w:val="false"/>
          <w:bCs w:val="false"/>
          <w:color w:val="000000"/>
          <w:sz w:val="20"/>
          <w:szCs w:val="20"/>
          <w:u w:val="none"/>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240" w:before="0" w:after="29"/>
        <w:ind w:hanging="0" w:left="0" w:right="0"/>
        <w:contextualSpacing/>
        <w:jc w:val="both"/>
        <w:rPr/>
      </w:pPr>
      <w:r>
        <w:rPr>
          <w:rFonts w:eastAsia="Times New Roman" w:cs="Arial" w:ascii="Verdana" w:hAnsi="Verdana"/>
          <w:b w:val="false"/>
          <w:bCs w:val="false"/>
          <w:color w:val="000000"/>
          <w:sz w:val="20"/>
          <w:szCs w:val="20"/>
          <w:u w:val="none"/>
        </w:rPr>
        <w:t>13.13.</w:t>
      </w:r>
      <w:r>
        <w:rPr>
          <w:rFonts w:cs="Arial" w:ascii="Verdana" w:hAnsi="Verdana"/>
          <w:b w:val="false"/>
          <w:bCs w:val="false"/>
          <w:color w:val="000000"/>
          <w:sz w:val="20"/>
          <w:szCs w:val="20"/>
          <w:u w:val="none"/>
        </w:rPr>
        <w:t xml:space="preserve"> Qualquer alteração feita no contrato social, ato constitutivo ou estatuto deverá ser ois comunicado ao CONTRATANTE, mediante documentação própria, para apreciação da autoridade competente.</w:t>
      </w:r>
    </w:p>
    <w:p>
      <w:pPr>
        <w:pStyle w:val="PargrafodaLista"/>
        <w:tabs>
          <w:tab w:val="clear" w:pos="708"/>
          <w:tab w:val="left" w:pos="518" w:leader="none"/>
        </w:tabs>
        <w:spacing w:lineRule="auto" w:line="240" w:before="0" w:after="29"/>
        <w:ind w:hanging="0" w:left="0" w:right="0"/>
        <w:contextualSpacing/>
        <w:jc w:val="both"/>
        <w:rPr/>
      </w:pPr>
      <w:r>
        <w:rPr>
          <w:rFonts w:eastAsia="Times New Roman" w:cs="Arial" w:ascii="Verdana" w:hAnsi="Verdana"/>
          <w:b w:val="false"/>
          <w:bCs w:val="false"/>
          <w:color w:val="000000"/>
          <w:sz w:val="20"/>
          <w:szCs w:val="20"/>
          <w:u w:val="none"/>
        </w:rPr>
        <w:t xml:space="preserve">13.14. </w:t>
      </w:r>
      <w:r>
        <w:rPr>
          <w:rFonts w:cs="Arial" w:ascii="Verdana" w:hAnsi="Verdana"/>
          <w:b w:val="false"/>
          <w:bCs w:val="false"/>
          <w:color w:val="000000"/>
          <w:sz w:val="20"/>
          <w:szCs w:val="20"/>
          <w:u w:val="none"/>
        </w:rPr>
        <w:t>O CONTRATANTE poderá deduzir do pagamento importâncias que a qualquer título lhe forem devidos pela empresa CONTRATADA, em decorrência de descumprimento de suas obrigações.</w:t>
      </w:r>
    </w:p>
    <w:p>
      <w:pPr>
        <w:pStyle w:val="PargrafodaLista"/>
        <w:tabs>
          <w:tab w:val="clear" w:pos="708"/>
          <w:tab w:val="left" w:pos="518" w:leader="none"/>
        </w:tabs>
        <w:spacing w:lineRule="auto" w:line="240" w:before="0" w:after="29"/>
        <w:ind w:hanging="0" w:left="0" w:right="0"/>
        <w:contextualSpacing/>
        <w:jc w:val="both"/>
        <w:rPr/>
      </w:pPr>
      <w:r>
        <w:rPr>
          <w:rFonts w:cs="Arial" w:ascii="Verdana" w:hAnsi="Verdana"/>
          <w:b w:val="false"/>
          <w:bCs w:val="false"/>
          <w:sz w:val="20"/>
          <w:szCs w:val="20"/>
          <w:u w:val="none"/>
        </w:rPr>
        <w:t xml:space="preserve">13.15. </w:t>
      </w:r>
      <w:r>
        <w:rPr>
          <w:rFonts w:cs="Arial" w:ascii="Verdana" w:hAnsi="Verdana"/>
          <w:b w:val="false"/>
          <w:bCs w:val="false"/>
          <w:sz w:val="20"/>
          <w:szCs w:val="20"/>
          <w:u w:val="none"/>
          <w:lang w:eastAsia="en-US"/>
        </w:rPr>
        <w:t xml:space="preserve">Para a efetivação do pagamento, a CONTRATADA deverá manter as mesmas </w:t>
      </w:r>
      <w:r>
        <w:rPr>
          <w:rFonts w:cs="Arial" w:ascii="Verdana" w:hAnsi="Verdana"/>
          <w:b w:val="false"/>
          <w:bCs w:val="false"/>
          <w:sz w:val="20"/>
          <w:szCs w:val="20"/>
          <w:u w:val="none"/>
          <w:lang w:eastAsia="pt-BR"/>
        </w:rPr>
        <w:t>condições relativas à proposta de preço e a habilitação.</w:t>
      </w:r>
    </w:p>
    <w:p>
      <w:pPr>
        <w:pStyle w:val="Default"/>
        <w:tabs>
          <w:tab w:val="clear" w:pos="708"/>
          <w:tab w:val="left" w:pos="563" w:leader="none"/>
        </w:tabs>
        <w:spacing w:lineRule="auto" w:line="240"/>
        <w:ind w:hanging="0" w:left="-22" w:right="0"/>
        <w:jc w:val="both"/>
        <w:rPr>
          <w:rFonts w:ascii="Verdana" w:hAnsi="Verdana"/>
          <w:sz w:val="20"/>
          <w:szCs w:val="20"/>
        </w:rPr>
      </w:pPr>
      <w:r>
        <w:rPr>
          <w:rFonts w:ascii="Verdana" w:hAnsi="Verdana"/>
          <w:sz w:val="20"/>
          <w:szCs w:val="20"/>
        </w:rPr>
      </w:r>
    </w:p>
    <w:p>
      <w:pPr>
        <w:pStyle w:val="Normal"/>
        <w:suppressAutoHyphens w:val="false"/>
        <w:spacing w:lineRule="auto" w:line="240"/>
        <w:jc w:val="both"/>
        <w:rPr/>
      </w:pPr>
      <w:r>
        <w:rPr>
          <w:rFonts w:cs="Arial" w:ascii="Verdana" w:hAnsi="Verdana"/>
          <w:b/>
          <w:sz w:val="20"/>
          <w:szCs w:val="20"/>
        </w:rPr>
        <w:t>14. CONTRATAÇÕES CORRELATAS E/OU INTERDEPENDENTES</w:t>
      </w:r>
    </w:p>
    <w:p>
      <w:pPr>
        <w:pStyle w:val="Normal"/>
        <w:suppressAutoHyphens w:val="false"/>
        <w:spacing w:lineRule="auto" w:line="240"/>
        <w:jc w:val="both"/>
        <w:rPr/>
      </w:pPr>
      <w:r>
        <w:rPr>
          <w:rFonts w:cs="Arial" w:ascii="Verdana" w:hAnsi="Verdana"/>
          <w:b w:val="false"/>
          <w:bCs w:val="false"/>
          <w:sz w:val="20"/>
          <w:szCs w:val="20"/>
        </w:rPr>
        <w:t>14.1</w:t>
      </w:r>
      <w:r>
        <w:rPr>
          <w:rFonts w:cs="Arial" w:ascii="Verdana" w:hAnsi="Verdana"/>
          <w:b/>
          <w:bCs/>
          <w:sz w:val="20"/>
          <w:szCs w:val="20"/>
        </w:rPr>
        <w:t>.</w:t>
      </w:r>
      <w:r>
        <w:rPr>
          <w:rFonts w:cs="Arial" w:ascii="Verdana" w:hAnsi="Verdana"/>
          <w:sz w:val="20"/>
          <w:szCs w:val="20"/>
        </w:rPr>
        <w:t xml:space="preserve"> Não se verifica contratações correlatas ou interdependentes para a viabilidade e contratação desta demanda.</w:t>
      </w:r>
    </w:p>
    <w:p>
      <w:pPr>
        <w:pStyle w:val="Normal"/>
        <w:suppressAutoHyphens w:val="false"/>
        <w:spacing w:lineRule="auto" w:line="240"/>
        <w:jc w:val="both"/>
        <w:rPr>
          <w:rFonts w:ascii="Verdana" w:hAnsi="Verdana" w:cs="Arial"/>
          <w:sz w:val="20"/>
          <w:szCs w:val="20"/>
        </w:rPr>
      </w:pPr>
      <w:r>
        <w:rPr>
          <w:rFonts w:cs="Arial" w:ascii="Verdana" w:hAnsi="Verdana"/>
          <w:sz w:val="20"/>
          <w:szCs w:val="20"/>
        </w:rPr>
      </w:r>
    </w:p>
    <w:p>
      <w:pPr>
        <w:pStyle w:val="Normal"/>
        <w:spacing w:lineRule="auto" w:line="240"/>
        <w:jc w:val="both"/>
        <w:rPr/>
      </w:pPr>
      <w:r>
        <w:rPr>
          <w:rFonts w:cs="Arial" w:ascii="Verdana" w:hAnsi="Verdana"/>
          <w:b/>
          <w:sz w:val="20"/>
          <w:szCs w:val="20"/>
        </w:rPr>
        <w:t>15. PROVIDÊNCIAS A SEREM ADOTADAS</w:t>
      </w:r>
    </w:p>
    <w:p>
      <w:pPr>
        <w:pStyle w:val="Normal"/>
        <w:spacing w:lineRule="auto" w:line="240"/>
        <w:jc w:val="both"/>
        <w:rPr/>
      </w:pPr>
      <w:r>
        <w:rPr>
          <w:rFonts w:ascii="Verdana" w:hAnsi="Verdana"/>
          <w:b w:val="false"/>
          <w:bCs w:val="false"/>
          <w:sz w:val="20"/>
          <w:szCs w:val="20"/>
        </w:rPr>
        <w:t>a) 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pPr>
        <w:pStyle w:val="Normal"/>
        <w:spacing w:lineRule="auto" w:line="240"/>
        <w:jc w:val="both"/>
        <w:rPr/>
      </w:pPr>
      <w:r>
        <w:rPr>
          <w:rFonts w:ascii="Verdana" w:hAnsi="Verdana"/>
          <w:b w:val="false"/>
          <w:bCs w:val="false"/>
          <w:sz w:val="20"/>
          <w:szCs w:val="20"/>
        </w:rPr>
        <w:t>b) No</w:t>
      </w:r>
      <w:r>
        <w:rPr>
          <w:rFonts w:ascii="Verdana" w:hAnsi="Verdana"/>
          <w:sz w:val="20"/>
          <w:szCs w:val="20"/>
        </w:rPr>
        <w:t xml:space="preserve"> caso de interrupção das entregas, por parte da contratada, o gestor do contrato tomará as providências cabíveis, de acordo com cláusulas do edital e contrato. </w:t>
      </w:r>
    </w:p>
    <w:p>
      <w:pPr>
        <w:pStyle w:val="Normal"/>
        <w:spacing w:lineRule="auto" w:line="240"/>
        <w:jc w:val="both"/>
        <w:rPr>
          <w:rFonts w:ascii="Verdana" w:hAnsi="Verdana"/>
          <w:sz w:val="20"/>
          <w:szCs w:val="20"/>
        </w:rPr>
      </w:pPr>
      <w:r>
        <w:rPr>
          <w:rFonts w:ascii="Verdana" w:hAnsi="Verdana"/>
          <w:sz w:val="20"/>
          <w:szCs w:val="20"/>
        </w:rPr>
      </w:r>
    </w:p>
    <w:p>
      <w:pPr>
        <w:pStyle w:val="Normal"/>
        <w:suppressAutoHyphens w:val="false"/>
        <w:spacing w:lineRule="auto" w:line="240"/>
        <w:jc w:val="both"/>
        <w:rPr/>
      </w:pPr>
      <w:r>
        <w:rPr>
          <w:rFonts w:cs="Arial" w:ascii="Verdana" w:hAnsi="Verdana"/>
          <w:b/>
          <w:sz w:val="20"/>
          <w:szCs w:val="20"/>
        </w:rPr>
        <w:t>16. POSSÍVEIS IMPACTOS AMBIENTAIS</w:t>
      </w:r>
    </w:p>
    <w:p>
      <w:pPr>
        <w:pStyle w:val="Normal"/>
        <w:spacing w:lineRule="auto" w:line="240"/>
        <w:jc w:val="both"/>
        <w:rPr/>
      </w:pPr>
      <w:r>
        <w:rPr>
          <w:rFonts w:ascii="Verdana" w:hAnsi="Verdana"/>
          <w:sz w:val="20"/>
          <w:szCs w:val="20"/>
        </w:rPr>
        <w:t>16.1 Não se verifica impactos ambientais da contratação.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pPr>
      <w:r>
        <w:rPr>
          <w:rFonts w:cs="Arial" w:ascii="Verdana" w:hAnsi="Verdana"/>
          <w:b/>
          <w:sz w:val="20"/>
          <w:szCs w:val="20"/>
        </w:rPr>
        <w:t>17. DECLARAÇÃO E JUSTIFICATIVA DA VIABILIDADE</w:t>
      </w:r>
    </w:p>
    <w:p>
      <w:pPr>
        <w:pStyle w:val="Normal"/>
        <w:spacing w:lineRule="auto" w:line="240"/>
        <w:jc w:val="both"/>
        <w:rPr/>
      </w:pPr>
      <w:r>
        <w:rPr>
          <w:rFonts w:ascii="Verdana" w:hAnsi="Verdana"/>
          <w:b w:val="false"/>
          <w:bCs w:val="false"/>
          <w:sz w:val="20"/>
          <w:szCs w:val="20"/>
        </w:rPr>
        <w:t>a) Neste sentido, a equipe de planejamento deste ETP e de acordo com a autoridade deste requerente, declara viável esta contratação, com base nos elementos apresentados neste documento.</w:t>
      </w:r>
    </w:p>
    <w:p>
      <w:pPr>
        <w:pStyle w:val="Normal"/>
        <w:spacing w:lineRule="auto" w:line="240"/>
        <w:jc w:val="both"/>
        <w:rPr/>
      </w:pPr>
      <w:r>
        <w:rPr>
          <w:rFonts w:ascii="Verdana" w:hAnsi="Verdana"/>
          <w:b w:val="false"/>
          <w:bCs w:val="false"/>
          <w:sz w:val="20"/>
          <w:szCs w:val="20"/>
        </w:rPr>
        <w:t>b) Considerando a necessidade de aquisição de gêneros alimentícios, por meio de pregão eletrônico, para atender as necessidades das Escolas da Rede Pública Municipal de São Gabriel da Palha, através do Programa Nacional de Alimentação Escolar.</w:t>
      </w:r>
    </w:p>
    <w:p>
      <w:pPr>
        <w:pStyle w:val="Normal"/>
        <w:spacing w:lineRule="auto" w:line="24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jc w:val="both"/>
        <w:rPr/>
      </w:pPr>
      <w:r>
        <w:rPr>
          <w:rFonts w:ascii="Verdana" w:hAnsi="Verdana"/>
          <w:b/>
          <w:color w:val="000000"/>
          <w:sz w:val="20"/>
          <w:szCs w:val="20"/>
        </w:rPr>
        <w:t>18. JUSTIFICATIVA PARA O PARCELAMENTO OU NÃO DA SOLUÇÃO</w:t>
      </w:r>
    </w:p>
    <w:p>
      <w:pPr>
        <w:pStyle w:val="Normal"/>
        <w:spacing w:lineRule="auto" w:line="240"/>
        <w:ind w:right="-425"/>
        <w:jc w:val="both"/>
        <w:rPr/>
      </w:pPr>
      <w:r>
        <w:rPr>
          <w:rFonts w:ascii="Verdana" w:hAnsi="Verdana"/>
          <w:b w:val="false"/>
          <w:bCs w:val="false"/>
          <w:sz w:val="20"/>
          <w:szCs w:val="20"/>
        </w:rPr>
        <w:t xml:space="preserve">a) </w:t>
      </w:r>
      <w:r>
        <w:rPr>
          <w:rFonts w:ascii="Verdana" w:hAnsi="Verdana"/>
          <w:b w:val="false"/>
          <w:bCs w:val="false"/>
          <w:sz w:val="20"/>
          <w:szCs w:val="20"/>
          <w:highlight w:val="white"/>
        </w:rPr>
        <w:t xml:space="preserve">O objeto da contratação será composto por 38 itens, de preço total estimado orçado pela Educação no valor </w:t>
      </w:r>
      <w:r>
        <w:rPr>
          <w:rFonts w:ascii="Verdana" w:hAnsi="Verdana"/>
          <w:b w:val="false"/>
          <w:bCs w:val="false"/>
          <w:sz w:val="20"/>
          <w:szCs w:val="20"/>
        </w:rPr>
        <w:t xml:space="preserve">R$ </w:t>
      </w:r>
      <w:r>
        <w:rPr>
          <w:rFonts w:eastAsia="Times New Roman" w:cs="Arial" w:ascii="Verdana" w:hAnsi="Verdana"/>
          <w:b w:val="false"/>
          <w:bCs w:val="false"/>
          <w:i w:val="false"/>
          <w:iCs w:val="false"/>
          <w:strike w:val="false"/>
          <w:dstrike w:val="false"/>
          <w:outline w:val="false"/>
          <w:shadow w:val="false"/>
          <w:color w:val="000000"/>
          <w:kern w:val="0"/>
          <w:sz w:val="20"/>
          <w:szCs w:val="20"/>
          <w:u w:val="none"/>
          <w:shd w:fill="auto" w:val="clear"/>
          <w:lang w:val="pt-BR" w:eastAsia="en-US" w:bidi="ar-SA"/>
        </w:rPr>
        <w:t>891.312,90 (oitocentos e noventa e um mil trezentos e doze reais e noventa centavos)</w:t>
      </w:r>
      <w:r>
        <w:rPr>
          <w:rFonts w:ascii="Verdana" w:hAnsi="Verdana"/>
          <w:b w:val="false"/>
          <w:bCs w:val="false"/>
          <w:sz w:val="20"/>
          <w:szCs w:val="20"/>
          <w:highlight w:val="white"/>
        </w:rPr>
        <w:t>. Para fins de classificação, será considerado o menor preço por item.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pacing w:lineRule="auto" w:line="240"/>
        <w:ind w:right="-425"/>
        <w:jc w:val="both"/>
        <w:rPr/>
      </w:pPr>
      <w:r>
        <w:rPr>
          <w:rFonts w:ascii="Verdana" w:hAnsi="Verdana"/>
          <w:b w:val="false"/>
          <w:bCs w:val="false"/>
          <w:sz w:val="20"/>
          <w:szCs w:val="20"/>
        </w:rPr>
        <w:t xml:space="preserve">b) A contratação deverá ser parcelada </w:t>
      </w:r>
      <w:r>
        <w:rPr>
          <w:rFonts w:ascii="Verdana" w:hAnsi="Verdana"/>
          <w:b w:val="false"/>
          <w:bCs w:val="false"/>
          <w:i/>
          <w:iCs/>
          <w:sz w:val="20"/>
          <w:szCs w:val="20"/>
        </w:rPr>
        <w:t>conforme cronograma anexado aos autos</w:t>
      </w:r>
      <w:r>
        <w:rPr>
          <w:rFonts w:ascii="Verdana" w:hAnsi="Verdana"/>
          <w:b w:val="false"/>
          <w:bCs w:val="false"/>
          <w:sz w:val="20"/>
          <w:szCs w:val="20"/>
        </w:rPr>
        <w:t xml:space="preserve">, </w:t>
      </w:r>
      <w:r>
        <w:rPr>
          <w:rFonts w:ascii="Verdana" w:hAnsi="Verdana"/>
          <w:b w:val="false"/>
          <w:bCs w:val="false"/>
          <w:sz w:val="20"/>
          <w:szCs w:val="20"/>
          <w:highlight w:val="white"/>
        </w:rPr>
        <w:t>evitando desperdícios e garantindo que os alimentos cheguem aos alunos de forma mais organizada e eficiente evitando que grandes quantidades de produtos estraguem por falta de consumo. Isso contribui para a redução de desperdícios e a utilização mais eficiente dos recursos.</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ind w:hanging="0" w:left="0" w:right="0"/>
        <w:jc w:val="both"/>
        <w:rPr/>
      </w:pPr>
      <w:r>
        <w:rPr>
          <w:rFonts w:ascii="Verdana" w:hAnsi="Verdana"/>
          <w:b/>
          <w:bCs/>
          <w:sz w:val="20"/>
          <w:szCs w:val="20"/>
          <w:u w:val="none"/>
        </w:rPr>
        <w:t xml:space="preserve">19. ADEQUAÇÃO ORÇAMENTÁRIA </w:t>
      </w:r>
    </w:p>
    <w:p>
      <w:pPr>
        <w:pStyle w:val="Normal"/>
        <w:spacing w:lineRule="auto" w:line="240"/>
        <w:ind w:hanging="0" w:left="0" w:right="0"/>
        <w:jc w:val="both"/>
        <w:rPr/>
      </w:pPr>
      <w:r>
        <w:rPr>
          <w:rFonts w:ascii="Verdana" w:hAnsi="Verdana"/>
          <w:sz w:val="20"/>
          <w:szCs w:val="20"/>
          <w:u w:val="none"/>
        </w:rPr>
        <w:t>19.1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ind w:hanging="0" w:left="0" w:right="0"/>
        <w:jc w:val="both"/>
        <w:rPr>
          <w:rFonts w:ascii="Verdana" w:hAnsi="Verdana"/>
          <w:sz w:val="20"/>
          <w:szCs w:val="20"/>
          <w:u w:val="none"/>
        </w:rPr>
      </w:pPr>
      <w:r>
        <w:rPr>
          <w:rFonts w:ascii="Verdana" w:hAnsi="Verdana"/>
          <w:sz w:val="20"/>
          <w:szCs w:val="20"/>
          <w:u w:val="none"/>
        </w:rPr>
      </w:r>
    </w:p>
    <w:p>
      <w:pPr>
        <w:pStyle w:val="Normal"/>
        <w:numPr>
          <w:ilvl w:val="0"/>
          <w:numId w:val="1"/>
        </w:numPr>
        <w:spacing w:lineRule="auto" w:line="240"/>
        <w:jc w:val="both"/>
        <w:rPr/>
      </w:pPr>
      <w:r>
        <w:rPr>
          <w:rFonts w:ascii="Verdana" w:hAnsi="Verdana"/>
          <w:b w:val="false"/>
          <w:bCs w:val="false"/>
          <w:i w:val="false"/>
          <w:iCs w:val="false"/>
          <w:strike w:val="false"/>
          <w:dstrike w:val="false"/>
          <w:outline w:val="false"/>
          <w:shadow w:val="false"/>
          <w:color w:val="000000"/>
          <w:sz w:val="20"/>
          <w:szCs w:val="20"/>
          <w:u w:val="none"/>
          <w:shd w:fill="auto" w:val="clear"/>
        </w:rPr>
        <w:t>FICHA - FONTE 00598</w:t>
      </w: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t>-</w:t>
      </w:r>
      <w:r>
        <w:rPr>
          <w:rFonts w:ascii="Verdana" w:hAnsi="Verdana"/>
          <w:b w:val="false"/>
          <w:bCs w:val="false"/>
          <w:i w:val="false"/>
          <w:iCs w:val="false"/>
          <w:strike w:val="false"/>
          <w:dstrike w:val="false"/>
          <w:outline w:val="false"/>
          <w:shadow w:val="false"/>
          <w:color w:val="000000"/>
          <w:sz w:val="20"/>
          <w:szCs w:val="20"/>
          <w:u w:val="none"/>
          <w:shd w:fill="auto" w:val="clear"/>
        </w:rPr>
        <w:t>15520000000000 o valor de</w:t>
      </w:r>
      <w:r>
        <w:rPr>
          <w:rFonts w:eastAsia="Times New Roman" w:cs="Arial" w:ascii="Verdana" w:hAnsi="Verdana"/>
          <w:b w:val="false"/>
          <w:bCs w:val="false"/>
          <w:i w:val="false"/>
          <w:iCs w:val="false"/>
          <w:strike w:val="false"/>
          <w:dstrike w:val="false"/>
          <w:outline w:val="false"/>
          <w:shadow w:val="false"/>
          <w:color w:val="000000"/>
          <w:kern w:val="0"/>
          <w:sz w:val="20"/>
          <w:szCs w:val="20"/>
          <w:u w:val="none"/>
          <w:shd w:fill="auto" w:val="clear"/>
          <w:lang w:val="pt-BR" w:eastAsia="en-US" w:bidi="ar-SA"/>
        </w:rPr>
        <w:t xml:space="preserve"> R$ 891.312,90 (oitocentos e noventa e um mil trezentos e doze reais e noventa centavos)</w:t>
      </w:r>
    </w:p>
    <w:p>
      <w:pPr>
        <w:pStyle w:val="Normal"/>
        <w:spacing w:lineRule="auto" w:line="240"/>
        <w:jc w:val="both"/>
        <w:rPr>
          <w:rFonts w:ascii="Verdana" w:hAnsi="Verdana" w:eastAsia="Times New Roman" w:cs="Arial"/>
          <w:b w:val="false"/>
          <w:bCs w:val="false"/>
          <w:i w:val="false"/>
          <w:i w:val="false"/>
          <w:iCs w:val="false"/>
          <w:strike w:val="false"/>
          <w:dstrike w:val="false"/>
          <w:outline w:val="false"/>
          <w:shadow w:val="false"/>
          <w:color w:val="000000"/>
          <w:kern w:val="0"/>
          <w:sz w:val="20"/>
          <w:szCs w:val="20"/>
          <w:u w:val="none"/>
          <w:shd w:fill="auto" w:val="clear"/>
          <w:lang w:val="pt-BR" w:eastAsia="en-US" w:bidi="ar-SA"/>
        </w:rPr>
      </w:pPr>
      <w:r>
        <w:rPr>
          <w:rFonts w:eastAsia="Times New Roman" w:cs="Arial" w:ascii="Verdana" w:hAnsi="Verdana"/>
          <w:b w:val="false"/>
          <w:bCs w:val="false"/>
          <w:i w:val="false"/>
          <w:iCs w:val="false"/>
          <w:strike w:val="false"/>
          <w:dstrike w:val="false"/>
          <w:outline w:val="false"/>
          <w:shadow w:val="false"/>
          <w:color w:val="000000"/>
          <w:kern w:val="0"/>
          <w:sz w:val="20"/>
          <w:szCs w:val="20"/>
          <w:u w:val="none"/>
          <w:shd w:fill="auto" w:val="clear"/>
          <w:lang w:val="pt-BR" w:eastAsia="en-US" w:bidi="ar-SA"/>
        </w:rPr>
      </w:r>
    </w:p>
    <w:p>
      <w:pPr>
        <w:pStyle w:val="Normal"/>
        <w:spacing w:lineRule="auto" w:line="240"/>
        <w:jc w:val="both"/>
        <w:rPr/>
      </w:pPr>
      <w:r>
        <w:rPr>
          <w:rFonts w:ascii="Verdana" w:hAnsi="Verdana"/>
          <w:b/>
          <w:bCs/>
          <w:sz w:val="20"/>
          <w:szCs w:val="20"/>
          <w:u w:val="none"/>
        </w:rPr>
        <w:t>20.</w:t>
      </w:r>
      <w:r>
        <w:rPr>
          <w:rFonts w:ascii="Verdana" w:hAnsi="Verdana"/>
          <w:sz w:val="20"/>
          <w:szCs w:val="20"/>
          <w:u w:val="none"/>
        </w:rPr>
        <w:t xml:space="preserve"> </w:t>
      </w:r>
      <w:r>
        <w:rPr>
          <w:rFonts w:cs="Arial" w:ascii="Verdana" w:hAnsi="Verdana"/>
          <w:b/>
          <w:bCs/>
          <w:color w:val="000000"/>
          <w:sz w:val="20"/>
          <w:szCs w:val="20"/>
          <w:u w:val="none"/>
        </w:rPr>
        <w:t>DOS RESPONSÁVEIS PELA ELABORAÇÃO DO TERMO DE REFERÊNCIA</w:t>
      </w:r>
    </w:p>
    <w:p>
      <w:pPr>
        <w:pStyle w:val="Normal"/>
        <w:spacing w:lineRule="auto" w:line="240"/>
        <w:ind w:hanging="0" w:left="0" w:right="0"/>
        <w:jc w:val="both"/>
        <w:rPr/>
      </w:pPr>
      <w:r>
        <w:rPr>
          <w:rFonts w:eastAsia="Times New Roman" w:cs="Arial" w:ascii="Verdana" w:hAnsi="Verdana"/>
          <w:b w:val="false"/>
          <w:bCs w:val="false"/>
          <w:color w:val="000000"/>
          <w:sz w:val="20"/>
          <w:szCs w:val="20"/>
          <w:u w:val="none"/>
        </w:rPr>
        <w:t>20.1.  A compilação das informações mencionados na elaboração deste Termo de Referência foram estruturadas/fundamentado no documento formalizador de demanda e estudo técnico preliminar que concluiu pela viabilidade da contratação, em anexo nos autos e  elaborados pela secretaria requisitante.</w:t>
      </w:r>
    </w:p>
    <w:p>
      <w:pPr>
        <w:pStyle w:val="Normal"/>
        <w:spacing w:lineRule="auto" w:line="240" w:before="0" w:after="360"/>
        <w:ind w:hanging="0" w:left="36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right"/>
        <w:rPr/>
      </w:pPr>
      <w:r>
        <w:rPr>
          <w:rFonts w:ascii="Verdana" w:hAnsi="Verdana"/>
          <w:sz w:val="20"/>
          <w:szCs w:val="20"/>
        </w:rPr>
        <w:t>São Gabriel da Palha, 12 de agosto de 2026</w:t>
      </w:r>
    </w:p>
    <w:p>
      <w:pPr>
        <w:pStyle w:val="Normal"/>
        <w:spacing w:lineRule="auto" w:line="240"/>
        <w:jc w:val="right"/>
        <w:rPr>
          <w:rFonts w:ascii="Verdana" w:hAnsi="Verdana" w:cs="Arial"/>
          <w:b/>
          <w:sz w:val="20"/>
          <w:szCs w:val="20"/>
          <w:u w:val="single"/>
        </w:rPr>
      </w:pPr>
      <w:r>
        <w:rPr>
          <w:rFonts w:cs="Arial" w:ascii="Verdana" w:hAnsi="Verdana"/>
          <w:b/>
          <w:sz w:val="20"/>
          <w:szCs w:val="20"/>
          <w:u w:val="single"/>
        </w:rPr>
      </w:r>
    </w:p>
    <w:p>
      <w:pPr>
        <w:pStyle w:val="Normal"/>
        <w:spacing w:lineRule="auto" w:line="240"/>
        <w:jc w:val="right"/>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pPr>
      <w:r>
        <w:rPr>
          <w:rFonts w:cs="Arial" w:ascii="Verdana" w:hAnsi="Verdana"/>
          <w:b/>
          <w:bCs/>
          <w:sz w:val="20"/>
          <w:szCs w:val="20"/>
        </w:rPr>
        <w:t>Elaborado por:</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left"/>
        <w:rPr/>
      </w:pPr>
      <w:r>
        <w:rPr>
          <w:rFonts w:cs="Arial" w:ascii="Verdana" w:hAnsi="Verdana"/>
          <w:b w:val="false"/>
          <w:bCs w:val="false"/>
          <w:sz w:val="20"/>
          <w:szCs w:val="20"/>
          <w:u w:val="none"/>
        </w:rPr>
        <w:t>ANDRESSA LINHARES MARTINS</w:t>
      </w:r>
    </w:p>
    <w:p>
      <w:pPr>
        <w:pStyle w:val="Normal"/>
        <w:spacing w:lineRule="auto" w:line="240"/>
        <w:jc w:val="left"/>
        <w:rPr/>
      </w:pPr>
      <w:r>
        <w:rPr>
          <w:rFonts w:cs="Arial" w:ascii="Verdana" w:hAnsi="Verdana"/>
          <w:b w:val="false"/>
          <w:bCs w:val="false"/>
          <w:sz w:val="20"/>
          <w:szCs w:val="20"/>
          <w:u w:val="none"/>
        </w:rPr>
        <w:t xml:space="preserve">Agente de Serviços Técnicos -  Decreto nº </w:t>
      </w:r>
    </w:p>
    <w:p>
      <w:pPr>
        <w:pStyle w:val="Normal"/>
        <w:spacing w:lineRule="auto" w:line="240"/>
        <w:jc w:val="left"/>
        <w:rPr/>
      </w:pPr>
      <w:r>
        <w:rPr>
          <w:rFonts w:cs="Arial" w:ascii="Verdana" w:hAnsi="Verdana"/>
          <w:b w:val="false"/>
          <w:bCs w:val="false"/>
          <w:sz w:val="20"/>
          <w:szCs w:val="20"/>
          <w:u w:val="none"/>
        </w:rPr>
        <w:t>Mat. nº 009838</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rPr/>
      </w:pPr>
      <w:r>
        <w:rPr>
          <w:rFonts w:ascii="Verdana" w:hAnsi="Verdana"/>
          <w:sz w:val="20"/>
          <w:szCs w:val="20"/>
          <w:shd w:fill="auto" w:val="clear"/>
        </w:rPr>
        <w:t>RODOLFO ANTÔNIO DA SILVA NETO</w:t>
      </w:r>
    </w:p>
    <w:p>
      <w:pPr>
        <w:pStyle w:val="Normal"/>
        <w:spacing w:lineRule="auto" w:line="240"/>
        <w:rPr/>
      </w:pPr>
      <w:r>
        <w:rPr>
          <w:rFonts w:ascii="Verdana" w:hAnsi="Verdana"/>
          <w:sz w:val="20"/>
          <w:szCs w:val="20"/>
          <w:shd w:fill="auto" w:val="clear"/>
        </w:rPr>
        <w:t>Agente de Serviços Técnicos – Portaria n° 9.965/2025</w:t>
      </w:r>
    </w:p>
    <w:p>
      <w:pPr>
        <w:pStyle w:val="Normal"/>
        <w:spacing w:lineRule="auto" w:line="240"/>
        <w:jc w:val="both"/>
        <w:rPr/>
      </w:pPr>
      <w:r>
        <w:rPr>
          <w:rFonts w:cs="Arial" w:ascii="Verdana" w:hAnsi="Verdana"/>
          <w:b w:val="false"/>
          <w:bCs w:val="false"/>
          <w:sz w:val="20"/>
          <w:szCs w:val="20"/>
          <w:shd w:fill="auto" w:val="clear"/>
        </w:rPr>
        <w:t>Mat. nº 000406</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pPr>
      <w:r>
        <w:rPr>
          <w:rFonts w:cs="Arial" w:ascii="Verdana" w:hAnsi="Verdana"/>
          <w:b w:val="false"/>
          <w:bCs w:val="false"/>
          <w:sz w:val="20"/>
          <w:szCs w:val="20"/>
        </w:rPr>
        <w:t>RUTH BARBARA DA SILWA NASCIMENTO</w:t>
      </w:r>
    </w:p>
    <w:p>
      <w:pPr>
        <w:pStyle w:val="Normal"/>
        <w:spacing w:lineRule="auto" w:line="240"/>
        <w:jc w:val="both"/>
        <w:rPr/>
      </w:pPr>
      <w:r>
        <w:rPr>
          <w:rFonts w:cs="Arial" w:ascii="Verdana" w:hAnsi="Verdana"/>
          <w:b w:val="false"/>
          <w:bCs w:val="false"/>
          <w:sz w:val="20"/>
          <w:szCs w:val="20"/>
        </w:rPr>
        <w:t>Agente de Serviços Técnicos - Decreto n° 4.816/2025.</w:t>
      </w:r>
    </w:p>
    <w:p>
      <w:pPr>
        <w:pStyle w:val="Normal"/>
        <w:spacing w:lineRule="auto" w:line="240"/>
        <w:jc w:val="both"/>
        <w:rPr/>
      </w:pPr>
      <w:r>
        <w:rPr>
          <w:rFonts w:cs="Arial" w:ascii="Verdana" w:hAnsi="Verdana"/>
          <w:b w:val="false"/>
          <w:bCs w:val="false"/>
          <w:sz w:val="20"/>
          <w:szCs w:val="20"/>
        </w:rPr>
        <w:t>Mat. nº 002983</w:t>
      </w:r>
      <w:bookmarkStart w:id="15" w:name="art116_Copia_1"/>
      <w:bookmarkStart w:id="16" w:name="art122%252525252525252525252525252525252"/>
      <w:bookmarkEnd w:id="15"/>
      <w:bookmarkEnd w:id="16"/>
    </w:p>
    <w:p>
      <w:pPr>
        <w:pStyle w:val="Normal"/>
        <w:spacing w:lineRule="auto" w:line="240"/>
        <w:rPr>
          <w:rFonts w:ascii="Verdana" w:hAnsi="Verdana"/>
          <w:sz w:val="20"/>
          <w:szCs w:val="20"/>
        </w:rPr>
      </w:pPr>
      <w:r>
        <w:rPr>
          <w:rFonts w:ascii="Verdana" w:hAnsi="Verdana"/>
          <w:sz w:val="20"/>
          <w:szCs w:val="20"/>
        </w:rPr>
      </w:r>
      <w:bookmarkStart w:id="17" w:name="art122%252525252525252525252525252525251"/>
      <w:bookmarkStart w:id="18" w:name="_GoBack_Copia_1_Copia_1"/>
      <w:bookmarkStart w:id="19" w:name="_GoBack1_Copia_1_Copia_1"/>
      <w:bookmarkStart w:id="20" w:name="_GoBack11_Copia_1_Copia_1"/>
      <w:bookmarkStart w:id="21" w:name="art122%252525252525252525252525252525253"/>
      <w:bookmarkStart w:id="22" w:name="_GoBack2_Copia_1"/>
      <w:bookmarkStart w:id="23" w:name="_GoBack11_Copia_1"/>
      <w:bookmarkStart w:id="24" w:name="art122%252525252525252525252525252525254"/>
      <w:bookmarkStart w:id="25" w:name="art122%252525252525252525252525252525255"/>
      <w:bookmarkStart w:id="26" w:name="art122%252525252525252525252525252525256"/>
      <w:bookmarkStart w:id="27" w:name="art122%252525252525252525252525252525257"/>
      <w:bookmarkStart w:id="28" w:name="art122%252525252525252525252525252525258"/>
      <w:bookmarkStart w:id="29" w:name="art122%252525252525252525252525252525259"/>
      <w:bookmarkStart w:id="30" w:name="_GoBack311211_Copia_1"/>
      <w:bookmarkStart w:id="31" w:name="_GoBack31121_Copia_1"/>
      <w:bookmarkStart w:id="32" w:name="art122%252525252525252525252525252525251"/>
      <w:bookmarkStart w:id="33" w:name="_GoBack_Copia_1_Copia_1"/>
      <w:bookmarkStart w:id="34" w:name="_GoBack1_Copia_1_Copia_1"/>
      <w:bookmarkStart w:id="35" w:name="_GoBack11_Copia_1_Copia_1"/>
      <w:bookmarkStart w:id="36" w:name="art122%252525252525252525252525252525253"/>
      <w:bookmarkStart w:id="37" w:name="_GoBack2_Copia_1"/>
      <w:bookmarkStart w:id="38" w:name="_GoBack11_Copia_1"/>
      <w:bookmarkStart w:id="39" w:name="art122%252525252525252525252525252525254"/>
      <w:bookmarkStart w:id="40" w:name="art122%252525252525252525252525252525255"/>
      <w:bookmarkStart w:id="41" w:name="art122%252525252525252525252525252525256"/>
      <w:bookmarkStart w:id="42" w:name="art122%252525252525252525252525252525257"/>
      <w:bookmarkStart w:id="43" w:name="art122%252525252525252525252525252525258"/>
      <w:bookmarkStart w:id="44" w:name="art122%252525252525252525252525252525259"/>
      <w:bookmarkStart w:id="45" w:name="_GoBack311211_Copia_1"/>
      <w:bookmarkStart w:id="46" w:name="_GoBack31121_Copia_1"/>
      <w:bookmarkEnd w:id="0"/>
      <w:bookmarkEnd w:id="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0">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0">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paragraph" w:styleId="Heading2">
    <w:name w:val="Heading 2"/>
    <w:basedOn w:val="LO-normal"/>
    <w:next w:val="LO-normal"/>
    <w:qFormat/>
    <w:pPr>
      <w:keepNext w:val="true"/>
      <w:keepLines/>
      <w:spacing w:lineRule="auto" w:line="360" w:before="240" w:after="240"/>
      <w:jc w:val="both"/>
    </w:pPr>
    <w:rPr>
      <w:b/>
    </w:rPr>
  </w:style>
  <w:style w:type="paragraph" w:styleId="Heading3">
    <w:name w:val="Heading 3"/>
    <w:basedOn w:val="LO-normal"/>
    <w:next w:val="LO-normal"/>
    <w:qFormat/>
    <w:pPr>
      <w:keepNext w:val="true"/>
      <w:keepLines/>
    </w:pPr>
    <w:rPr>
      <w:i/>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Hyperlink">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character" w:styleId="WW8Num9z0">
    <w:name w:val="WW8Num9z0"/>
    <w:qFormat/>
    <w:rPr>
      <w:b/>
      <w:bCs/>
    </w:rPr>
  </w:style>
  <w:style w:type="character" w:styleId="WW8Num10z0">
    <w:name w:val="WW8Num10z0"/>
    <w:qFormat/>
    <w:rPr>
      <w:b/>
      <w:bCs/>
    </w:rPr>
  </w:style>
  <w:style w:type="character" w:styleId="Hyperlink1">
    <w:name w:val="Hyperlink1"/>
    <w:qFormat/>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caption11">
    <w:name w:val="caption11"/>
    <w:basedOn w:val="Normal"/>
    <w:qFormat/>
    <w:pPr>
      <w:suppressLineNumbers/>
      <w:spacing w:before="120" w:after="120"/>
    </w:pPr>
    <w:rPr>
      <w:rFonts w:cs="Lucida Sans"/>
      <w:i/>
      <w:iCs/>
      <w:sz w:val="24"/>
      <w:szCs w:val="24"/>
    </w:rPr>
  </w:style>
  <w:style w:type="paragraph" w:styleId="caption111">
    <w:name w:val="caption111"/>
    <w:basedOn w:val="Normal"/>
    <w:qFormat/>
    <w:pPr>
      <w:suppressLineNumbers/>
      <w:spacing w:before="120" w:after="120"/>
    </w:pPr>
    <w:rPr>
      <w:rFonts w:cs="Lucida Sans"/>
      <w:i/>
      <w:iCs/>
      <w:sz w:val="24"/>
      <w:szCs w:val="24"/>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111">
    <w:name w:val="caption111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Cabealhoerodap11">
    <w:name w:val="Cabeçalho e rodapé11"/>
    <w:basedOn w:val="Normal"/>
    <w:qFormat/>
    <w:pPr/>
    <w:rPr/>
  </w:style>
  <w:style w:type="paragraph" w:styleId="Cabealhoerodap12">
    <w:name w:val="Cabeçalho e rodapé12"/>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widowControl w:val="false"/>
      <w:suppressLineNumbers/>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 w:val="24"/>
      <w:szCs w:val="24"/>
    </w:rPr>
  </w:style>
  <w:style w:type="paragraph" w:styleId="LO-normal">
    <w:name w:val="LO-normal"/>
    <w:qFormat/>
    <w:pPr>
      <w:widowControl/>
      <w:suppressAutoHyphens w:val="true"/>
      <w:bidi w:val="0"/>
      <w:spacing w:lineRule="auto" w:line="360" w:before="240" w:after="240"/>
      <w:jc w:val="both"/>
    </w:pPr>
    <w:rPr>
      <w:rFonts w:ascii="Arial" w:hAnsi="Arial" w:eastAsia="Arial" w:cs="DejaVu Sans" w:asciiTheme="minorHAnsi" w:cstheme="minorBidi" w:eastAsiaTheme="minorHAnsi" w:hAnsiTheme="minorHAnsi"/>
      <w:color w:val="auto"/>
      <w:kern w:val="0"/>
      <w:sz w:val="22"/>
      <w:szCs w:val="22"/>
      <w:lang w:val="pt-BR" w:eastAsia="en-US" w:bidi="ar-SA"/>
    </w:rPr>
  </w:style>
  <w:style w:type="paragraph" w:styleId="WW-Textosimples">
    <w:name w:val="WW-Texto simples"/>
    <w:basedOn w:val="Normal"/>
    <w:qFormat/>
    <w:pPr/>
    <w:rPr>
      <w:rFonts w:ascii="Courier New" w:hAnsi="Courier New" w:cs="Courier New"/>
      <w:sz w:val="20"/>
    </w:rPr>
  </w:style>
  <w:style w:type="paragraph" w:styleId="Contedodoquadro">
    <w:name w:val="Conteúdo do quadro"/>
    <w:basedOn w:val="Normal"/>
    <w:qFormat/>
    <w:pPr/>
    <w:rPr/>
  </w:style>
  <w:style w:type="paragraph" w:styleId="caption4">
    <w:name w:val="caption4"/>
    <w:basedOn w:val="Normal"/>
    <w:qFormat/>
    <w:pPr>
      <w:suppressLineNumbers/>
      <w:spacing w:before="120" w:after="120"/>
    </w:pPr>
    <w:rPr>
      <w:rFonts w:cs="Lucida Sans"/>
      <w:i/>
      <w:iCs/>
      <w:szCs w:val="24"/>
    </w:rPr>
  </w:style>
  <w:style w:type="paragraph" w:styleId="normal1">
    <w:name w:val="normal1"/>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ormal2">
    <w:name w:val="normal2"/>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ivel2-Opcional">
    <w:name w:val="Nivel 2-Opcional"/>
    <w:basedOn w:val="Normal"/>
    <w:qFormat/>
    <w:pPr>
      <w:numPr>
        <w:ilvl w:val="1"/>
        <w:numId w:val="2"/>
      </w:numPr>
      <w:shd w:val="clear" w:color="auto" w:fill="76923C" w:themeFill="accent3" w:themeFillShade="bf"/>
      <w:spacing w:lineRule="auto" w:line="276" w:before="120" w:after="120"/>
      <w:ind w:hanging="0" w:left="0"/>
      <w:jc w:val="both"/>
    </w:pPr>
    <w:rPr>
      <w:rFonts w:ascii="Arial" w:hAnsi="Arial" w:eastAsia="Arial" w:cs="Arial"/>
      <w:i/>
      <w:color w:val="FF0000"/>
      <w:sz w:val="20"/>
      <w:szCs w:val="20"/>
    </w:rPr>
  </w:style>
  <w:style w:type="paragraph" w:styleId="Nvel02">
    <w:name w:val="Nível 02"/>
    <w:basedOn w:val="Nivel2-Opcional"/>
    <w:qFormat/>
    <w:pPr>
      <w:shd w:val="clear" w:color="auto" w:fill="auto"/>
    </w:pPr>
    <w:rPr>
      <w:i w:val="false"/>
      <w:iCs/>
      <w:color w:val="auto"/>
    </w:rPr>
  </w:style>
  <w:style w:type="paragraph" w:styleId="normal3">
    <w:name w:val="normal3"/>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numbering" w:styleId="Semlista">
    <w:name w:val="Sem lista"/>
    <w:qFormat/>
  </w:style>
  <w:style w:type="numbering" w:styleId="WW8Num10">
    <w:name w:val="WW8Num10"/>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ernet.sefaz.es.gov.br/" TargetMode="External"/><Relationship Id="rId3" Type="http://schemas.openxmlformats.org/officeDocument/2006/relationships/hyperlink" Target="http://www.tst.jus.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planalto.gov.br/ccivil_03/leis/lcp/lcp123.htm"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1068</TotalTime>
  <Application>LibreOffice/24.2.7.2$Windows_X86_64 LibreOffice_project/ee3885777aa7032db5a9b65deec9457448a91162</Application>
  <AppVersion>15.0000</AppVersion>
  <Pages>19</Pages>
  <Words>7385</Words>
  <Characters>42531</Characters>
  <CharactersWithSpaces>49587</CharactersWithSpaces>
  <Paragraphs>453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2026-08-13T13:23:13Z</cp:lastPrinted>
  <dcterms:modified xsi:type="dcterms:W3CDTF">2026-08-13T13:28:55Z</dcterms:modified>
  <cp:revision>192</cp:revision>
  <dc:subject/>
  <dc:title/>
</cp:coreProperties>
</file>

<file path=docProps/custom.xml><?xml version="1.0" encoding="utf-8"?>
<Properties xmlns="http://schemas.openxmlformats.org/officeDocument/2006/custom-properties" xmlns:vt="http://schemas.openxmlformats.org/officeDocument/2006/docPropsVTypes"/>
</file>